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版本号：GR25-CS-029.1B120250604001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压缩站及车辆上装部分维修项目(二次)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GR25-CS-029.1B1</w:t>
      </w:r>
      <w:r>
        <w:br/>
      </w:r>
      <w:r>
        <w:br/>
      </w:r>
      <w:r>
        <w:br/>
      </w:r>
    </w:p>
    <w:p>
      <w:pPr>
        <w:pStyle w:val="null3"/>
        <w:jc w:val="center"/>
        <w:outlineLvl w:val="2"/>
      </w:pPr>
      <w:r>
        <w:rPr>
          <w:rFonts w:ascii="仿宋_GB2312" w:hAnsi="仿宋_GB2312" w:cs="仿宋_GB2312" w:eastAsia="仿宋_GB2312"/>
          <w:sz w:val="28"/>
          <w:b/>
        </w:rPr>
        <w:t>西安市未央区环境卫生管理所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西安市未央区环境卫生管理所</w:t>
      </w:r>
      <w:r>
        <w:rPr>
          <w:rFonts w:ascii="仿宋_GB2312" w:hAnsi="仿宋_GB2312" w:cs="仿宋_GB2312" w:eastAsia="仿宋_GB2312"/>
        </w:rPr>
        <w:t>委托，拟对</w:t>
      </w:r>
      <w:r>
        <w:rPr>
          <w:rFonts w:ascii="仿宋_GB2312" w:hAnsi="仿宋_GB2312" w:cs="仿宋_GB2312" w:eastAsia="仿宋_GB2312"/>
        </w:rPr>
        <w:t>压缩站及车辆上装部分维修项目(二次)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GR25-CS-029.1B1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压缩站及车辆上装部分维修项目(二次)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本项目为西安市未央区环境卫生管理所压缩站及车辆上装部分维修项目（二次）。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采购包1（压缩站及车辆上装部分维修项目）：属于专门面向中小企业采购。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西安市未央区环境卫生管理所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西安市未央区政法巷24号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西安市未央区环境卫生管理所经办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029-86281405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代理服务费收费标准：本项目采购代理服务费以采购项目的预算金额作为收费基数，按照国家计委（计价格【2002】1980号）《招标代理服务收费管理暂行办法》规定的服务类收费标准收取。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西安市未央区环境卫生管理所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西安市未央区环境卫生管理所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西安市未央区环境卫生管理所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本项目为西安市未央区环境卫生管理所压缩站及车辆上装部分维修项目（二次）。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935,000.00</w:t>
      </w:r>
    </w:p>
    <w:p>
      <w:pPr>
        <w:pStyle w:val="null3"/>
      </w:pPr>
      <w:r>
        <w:rPr>
          <w:rFonts w:ascii="仿宋_GB2312" w:hAnsi="仿宋_GB2312" w:cs="仿宋_GB2312" w:eastAsia="仿宋_GB2312"/>
        </w:rPr>
        <w:t>采购包最高限价（元）: 935,000.00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压缩站及车辆上装部分维修项目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标的名称：压缩站及车辆上装部分维修项目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本项目采购内容为压缩站及车辆上装部分维修，具体包括以下内容:</w:t>
            </w:r>
          </w:p>
          <w:p>
            <w:pPr>
              <w:pStyle w:val="null3"/>
            </w:pPr>
            <w:r>
              <w:rPr>
                <w:rFonts w:ascii="仿宋_GB2312" w:hAnsi="仿宋_GB2312" w:cs="仿宋_GB2312" w:eastAsia="仿宋_GB2312"/>
                <w:sz w:val="24"/>
              </w:rPr>
              <w:t>一压缩站维修</w:t>
            </w:r>
            <w:r>
              <w:br/>
            </w:r>
            <w:r>
              <w:rPr>
                <w:rFonts w:ascii="仿宋_GB2312" w:hAnsi="仿宋_GB2312" w:cs="仿宋_GB2312" w:eastAsia="仿宋_GB2312"/>
                <w:sz w:val="24"/>
              </w:rPr>
              <w:t xml:space="preserve">  压缩站类型：水平站、垂直站、103站、双动力压缩垃圾站</w:t>
            </w:r>
            <w:r>
              <w:br/>
            </w:r>
            <w:r>
              <w:rPr>
                <w:rFonts w:ascii="仿宋_GB2312" w:hAnsi="仿宋_GB2312" w:cs="仿宋_GB2312" w:eastAsia="仿宋_GB2312"/>
                <w:sz w:val="24"/>
              </w:rPr>
              <w:t xml:space="preserve">  功能说明：</w:t>
            </w:r>
            <w:r>
              <w:br/>
            </w:r>
            <w:r>
              <w:rPr>
                <w:rFonts w:ascii="仿宋_GB2312" w:hAnsi="仿宋_GB2312" w:cs="仿宋_GB2312" w:eastAsia="仿宋_GB2312"/>
                <w:sz w:val="24"/>
              </w:rPr>
              <w:t xml:space="preserve">  1、结构功能：储存箱、推头支架、柱子、轨道、斗子、箱轨道、压缩包、中门、前门、滑块座总成。</w:t>
            </w:r>
            <w:r>
              <w:br/>
            </w:r>
            <w:r>
              <w:rPr>
                <w:rFonts w:ascii="仿宋_GB2312" w:hAnsi="仿宋_GB2312" w:cs="仿宋_GB2312" w:eastAsia="仿宋_GB2312"/>
                <w:sz w:val="24"/>
              </w:rPr>
              <w:t xml:space="preserve">  2、液压系统：液压站、油缸、液压管。</w:t>
            </w:r>
            <w:r>
              <w:br/>
            </w:r>
            <w:r>
              <w:rPr>
                <w:rFonts w:ascii="仿宋_GB2312" w:hAnsi="仿宋_GB2312" w:cs="仿宋_GB2312" w:eastAsia="仿宋_GB2312"/>
                <w:sz w:val="24"/>
              </w:rPr>
              <w:t xml:space="preserve">  3、电控系统：PLC系统、指令系统、传感系统、启动系统。</w:t>
            </w:r>
            <w:r>
              <w:br/>
            </w:r>
            <w:r>
              <w:rPr>
                <w:rFonts w:ascii="仿宋_GB2312" w:hAnsi="仿宋_GB2312" w:cs="仿宋_GB2312" w:eastAsia="仿宋_GB2312"/>
                <w:sz w:val="24"/>
              </w:rPr>
              <w:t xml:space="preserve">  4、空间雾化系统、负压除臭系统。</w:t>
            </w:r>
          </w:p>
          <w:p>
            <w:pPr>
              <w:pStyle w:val="null3"/>
            </w:pPr>
            <w:r>
              <w:rPr>
                <w:rFonts w:ascii="仿宋_GB2312" w:hAnsi="仿宋_GB2312" w:cs="仿宋_GB2312" w:eastAsia="仿宋_GB2312"/>
                <w:sz w:val="24"/>
              </w:rPr>
              <w:t>二、环卫车上装部分（底盘以上部分）维修</w:t>
            </w:r>
            <w:r>
              <w:br/>
            </w:r>
            <w:r>
              <w:rPr>
                <w:rFonts w:ascii="仿宋_GB2312" w:hAnsi="仿宋_GB2312" w:cs="仿宋_GB2312" w:eastAsia="仿宋_GB2312"/>
                <w:sz w:val="24"/>
              </w:rPr>
              <w:t xml:space="preserve">  车辆类型：压缩车、勾臂车、垂直对接车、洒水车、餐厨车</w:t>
            </w:r>
            <w:r>
              <w:br/>
            </w:r>
            <w:r>
              <w:rPr>
                <w:rFonts w:ascii="仿宋_GB2312" w:hAnsi="仿宋_GB2312" w:cs="仿宋_GB2312" w:eastAsia="仿宋_GB2312"/>
                <w:sz w:val="24"/>
              </w:rPr>
              <w:t xml:space="preserve">  功能说明：</w:t>
            </w:r>
            <w:r>
              <w:br/>
            </w:r>
            <w:r>
              <w:rPr>
                <w:rFonts w:ascii="仿宋_GB2312" w:hAnsi="仿宋_GB2312" w:cs="仿宋_GB2312" w:eastAsia="仿宋_GB2312"/>
                <w:sz w:val="24"/>
              </w:rPr>
              <w:t xml:space="preserve">  1、结构功能：垃圾箱底板、后尾箱、挤压板、破碎板、污水收集装置、拉箱架座、启箱架等。</w:t>
            </w:r>
            <w:r>
              <w:br/>
            </w:r>
            <w:r>
              <w:rPr>
                <w:rFonts w:ascii="仿宋_GB2312" w:hAnsi="仿宋_GB2312" w:cs="仿宋_GB2312" w:eastAsia="仿宋_GB2312"/>
                <w:sz w:val="24"/>
              </w:rPr>
              <w:t xml:space="preserve">  2、液压系统：液压泵、多路换向阀、压力阀、节流阀、吸油、回油系统、液压管、液压钢管、油缸。</w:t>
            </w:r>
            <w:r>
              <w:br/>
            </w:r>
            <w:r>
              <w:rPr>
                <w:rFonts w:ascii="仿宋_GB2312" w:hAnsi="仿宋_GB2312" w:cs="仿宋_GB2312" w:eastAsia="仿宋_GB2312"/>
                <w:sz w:val="24"/>
              </w:rPr>
              <w:t xml:space="preserve">  3、电控系统：PLC系统、指令系统（按钮、旋转、扭指等开关）、传感器。</w:t>
            </w:r>
          </w:p>
          <w:p>
            <w:pPr>
              <w:pStyle w:val="null3"/>
            </w:pPr>
            <w:r>
              <w:rPr>
                <w:rFonts w:ascii="仿宋_GB2312" w:hAnsi="仿宋_GB2312" w:cs="仿宋_GB2312" w:eastAsia="仿宋_GB2312"/>
                <w:sz w:val="24"/>
              </w:rPr>
              <w:t xml:space="preserve"> 三、环卫车上装部分及压缩站设备配件维修</w:t>
            </w:r>
            <w:r>
              <w:br/>
            </w:r>
            <w:r>
              <w:rPr>
                <w:rFonts w:ascii="仿宋_GB2312" w:hAnsi="仿宋_GB2312" w:cs="仿宋_GB2312" w:eastAsia="仿宋_GB2312"/>
                <w:sz w:val="24"/>
              </w:rPr>
              <w:t xml:space="preserve">  举升油缸总成、左闸门油缸、举升油缸油缸杆、滑块座、升降油缸总成、滑板、举升油缸油缸杆、多路换向阀、推头油缸总成、填料器油路块、推头油缸液压油管、三级油缸、刮板油缸总成、填料器油缸、刮板滑块、挤压板油缸、支腿油缸总成、快速接头、翻桶油缸液压油管、密封胶条（定制）、小臂油缸杆、快换接头、大臂油缸总成、吸油滤清器、污水箱、回油滤清器、污水箱盖子、进油滤清、污水箱堵头、回油滤、双联泵、推头油缸销轴、齿轮泵、推头油缸轴套、溢流阀、二位三通阀、叠加式溢流阀、油缸 (提料装置用 )、电磁溢流阀、高压叶片泵、分流集流阀、低压叶片泵、先导式溢流阀、三位四通电磁阀、叶片泵、溢流阀 (单节 )、挤压油缸、溢流阀 (双节 )、破碎油缸、位移传感器、左压缩油缸等。</w:t>
            </w:r>
          </w:p>
          <w:p>
            <w:pPr>
              <w:pStyle w:val="null3"/>
            </w:pPr>
            <w:r>
              <w:rPr>
                <w:rFonts w:ascii="仿宋_GB2312" w:hAnsi="仿宋_GB2312" w:cs="仿宋_GB2312" w:eastAsia="仿宋_GB2312"/>
                <w:sz w:val="24"/>
              </w:rPr>
              <w:t>四、服务方式</w:t>
            </w:r>
          </w:p>
          <w:p>
            <w:pPr>
              <w:pStyle w:val="null3"/>
            </w:pPr>
            <w:r>
              <w:rPr>
                <w:rFonts w:ascii="仿宋_GB2312" w:hAnsi="仿宋_GB2312" w:cs="仿宋_GB2312" w:eastAsia="仿宋_GB2312"/>
                <w:sz w:val="24"/>
              </w:rPr>
              <w:t>维修主要采用上门维修，对于上门不能解决的故障具备专业维修场所服务。</w:t>
            </w:r>
          </w:p>
          <w:p>
            <w:pPr>
              <w:pStyle w:val="null3"/>
            </w:pPr>
            <w:r>
              <w:rPr>
                <w:rFonts w:ascii="仿宋_GB2312" w:hAnsi="仿宋_GB2312" w:cs="仿宋_GB2312" w:eastAsia="仿宋_GB2312"/>
                <w:sz w:val="24"/>
              </w:rPr>
              <w:t>五、配件清单及指导价格</w:t>
            </w:r>
          </w:p>
          <w:tbl>
            <w:tblPr>
              <w:tblBorders>
                <w:top w:val="single"/>
                <w:left w:val="single"/>
                <w:bottom w:val="single"/>
                <w:right w:val="single"/>
                <w:insideH w:val="single"/>
                <w:insideV w:val="single"/>
              </w:tblBorders>
            </w:tblPr>
            <w:tblGrid>
              <w:gridCol w:w="510"/>
              <w:gridCol w:w="510"/>
              <w:gridCol w:w="510"/>
              <w:gridCol w:w="510"/>
              <w:gridCol w:w="510"/>
            </w:tblGrid>
            <w:tr>
              <w:tc>
                <w:tcPr>
                  <w:tcW w:type="dxa" w:w="2550"/>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报价</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序号</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项目</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配件</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数量</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单价</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水平站</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销套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大臂销轴</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行程开关</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260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地锚推箱油管</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760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大臂油缸油管</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63A空开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快速接头</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460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污水球阀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N80不锈钢球阀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360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10</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球阀手柄</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35</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回油滤芯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进油滤芯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单向阀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430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14</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3位4通换向阀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820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w:t>
                  </w:r>
                </w:p>
              </w:tc>
              <w:tc>
                <w:tcPr>
                  <w:tcW w:type="dxa" w:w="51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垂直站</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压头密封圈</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电磁阀插头</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17</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限位开关</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18</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高压水泵机油</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19</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进油滤芯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回油滤芯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960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21</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拓展模块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1260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22</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PLC运动控制器</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6300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23</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推铲油管</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360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24</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锁钩油管</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25</w:t>
                  </w:r>
                </w:p>
              </w:tc>
              <w:tc>
                <w:tcPr>
                  <w:tcW w:type="dxa" w:w="5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压缩车</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回油滤芯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850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26</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进油滤芯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650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27</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高压滤芯总成</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6200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滚轮</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29</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石墨烯铜套</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120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30</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欧姆龙传感器</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560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31</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50型钢球阀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32</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油封</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33</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高压油泵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8030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34</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滑板油管</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35</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气动阀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36</w:t>
                  </w:r>
                </w:p>
              </w:tc>
              <w:tc>
                <w:tcPr>
                  <w:tcW w:type="dxa" w:w="51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餐厨车</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螺旋轴承油封</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37</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油缸密封</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38</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螺旋机构链条</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39</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原厂螺旋保护罩</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700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40</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高压油管</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41</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磁铁</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42</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骨架密封圈</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48</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43</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推板卡滞开关</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44</w:t>
                  </w:r>
                </w:p>
              </w:tc>
              <w:tc>
                <w:tcPr>
                  <w:tcW w:type="dxa" w:w="510"/>
                  <w:vMerge/>
                  <w:tcBorders>
                    <w:top w:val="single" w:color="000000" w:sz="4"/>
                    <w:left w:val="single" w:color="000000" w:sz="4"/>
                    <w:bottom w:val="non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螺旋油封</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150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45</w:t>
                  </w:r>
                </w:p>
              </w:tc>
              <w:tc>
                <w:tcPr>
                  <w:tcW w:type="dxa" w:w="5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勾臂车</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快速接头处油管</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46</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回油滤芯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47</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进油滤芯</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1100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48</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斜轴柱塞泵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8120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49</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液压快速接头</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230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平衡阀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3000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51</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液压锁</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1600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52</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气控阀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5600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53</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箱体球阀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300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54</w:t>
                  </w:r>
                </w:p>
              </w:tc>
              <w:tc>
                <w:tcPr>
                  <w:tcW w:type="dxa" w:w="5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洒水车</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50球阀</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240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55</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高压水泵</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4850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56</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鸭嘴</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130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57</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消防洒水炮</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58</w:t>
                  </w:r>
                </w:p>
              </w:tc>
              <w:tc>
                <w:tcPr>
                  <w:tcW w:type="dxa" w:w="51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垂直对接车</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锁箱油管</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280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59</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液压锁</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580</w:t>
                  </w:r>
                </w:p>
              </w:tc>
            </w:tr>
            <w:tr>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60</w:t>
                  </w:r>
                </w:p>
              </w:tc>
              <w:tc>
                <w:tcPr>
                  <w:tcW w:type="dxa" w:w="510"/>
                  <w:vMerge/>
                  <w:tcBorders>
                    <w:top w:val="single" w:color="000000" w:sz="4"/>
                    <w:left w:val="single" w:color="000000" w:sz="4"/>
                    <w:bottom w:val="single" w:color="000000" w:sz="4"/>
                    <w:right w:val="single" w:color="000000" w:sz="4"/>
                  </w:tcBorders>
                </w:tcP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锁箱油缸</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1</w:t>
                  </w:r>
                </w:p>
              </w:tc>
              <w:tc>
                <w:tcPr>
                  <w:tcW w:type="dxa" w:w="51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color w:val="000000"/>
                    </w:rPr>
                    <w:t>980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合同签订后，成交供应商每月所产生的费用经采购人确认后按月据实结算，最终结算金额不超过采购预算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合同签订后，成交供应商每月所产生的费用经采购人确认后按月据实结算，最终结算金额不 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合同签订后，成交供应商每月所产生的费用经采购人确认后按月据实结算，最终结算金额不 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合同签订后，成交供应商每月所产生的费用经采购人确认后按月据实结算，最终结算金额不 超过采购预算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供应商资质证明文件1.docx 法定代表人身份证明及法人授权书.docx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 8、对合同中规定的双方的权利和义务是否做出了实质性响应。</w:t>
            </w:r>
          </w:p>
        </w:tc>
        <w:tc>
          <w:tcPr>
            <w:tcW w:type="dxa" w:w="1661"/>
          </w:tcPr>
          <w:p>
            <w:pPr>
              <w:pStyle w:val="null3"/>
            </w:pPr>
            <w:r>
              <w:rPr>
                <w:rFonts w:ascii="仿宋_GB2312" w:hAnsi="仿宋_GB2312" w:cs="仿宋_GB2312" w:eastAsia="仿宋_GB2312"/>
              </w:rPr>
              <w:t>响应文件封面 分项报价表.docx 技术偏离表1.docx 标的清单 商务偏离表.docx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针对本项目制定的总体服务方案进行综合赋分。 服务方案详细完整、可行性、针对性强，能高质量的确保项目服务质量，得6分； 服务方案比较完整，可行性及针对性较强以保证项目质量，得5分； 服务方案相对完整，有一定的可行性及针对性以保证项目质量，得4分； 服务方案基本完整、可行，得5分； 服务方案比较简单，得3分；服务方案简略，可行性存在不足，得2分； 服务方案存在漏洞、合理性、可行性差，得1分；无内容不得分。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业务流程</w:t>
            </w:r>
          </w:p>
        </w:tc>
        <w:tc>
          <w:tcPr>
            <w:tcW w:type="dxa" w:w="2492"/>
          </w:tcPr>
          <w:p>
            <w:pPr>
              <w:pStyle w:val="null3"/>
            </w:pPr>
            <w:r>
              <w:rPr>
                <w:rFonts w:ascii="仿宋_GB2312" w:hAnsi="仿宋_GB2312" w:cs="仿宋_GB2312" w:eastAsia="仿宋_GB2312"/>
              </w:rPr>
              <w:t>针对本项目提供的各项业务及操作流程，①业务受理、②各工种的操作流程、③维修后质量检查、④维修后交付进行综合赋分。本项共6分。 每项内容全面、合理、规范，可操作性强得1.5分； 每项内容比较合理和规范，有较强的可操作性得1分； 每项内容有缺漏，可操作性差得0.5分；无内容不得分。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根据供应商提供的工作中对人身、设备、上装等安全管理措施进行综合赋分。 措施全面、合理、规范，可操作性强6分； 措施比较全面、合理、规范，可操作性较强5分； 措施相对全面、合理、规范，可操作性相对较强得4分； 措施基本全面、合理、规范，有一定的可操作性得3分； 措施简单，笼统，可操作性有欠缺得2分； 措施有缺漏，可操作性差得1分；无内容不得分。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根据供应商提供合理可行的环境保护措施进行综合赋分。 措施全面、合理、规范，可操作性强得6分； 措施比较全面、合理、规范，可操作性较强得5分； 措施相对全面、合理，可操作性相对较强得4分； 措施基本合理，有一定的可操作性得3分； 措施简单、笼统，有可操作性得2分； 措施有缺漏，可操作性差得1分；无内容不得分。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结合本项目实际情况，有详细完整的服务质量保证措施，根据保证措施的完整性和针对性进行综合赋分。 保障措施详细完整、可行性、针对性强，得6分； 保障措施比较完整，可行性及针对性较强，得5分； 保障措施相对完整，有一定的可行性及针对性，得6分； 保障措施基本完整、可行，得4分； 保障措施、可行性措施简单，得3分； 保障措施简略，可行性存在不足，得2分; 保障措施存在漏洞、合理性、可行性差，得1分；无内容不得分。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拟投入人员配备</w:t>
            </w:r>
          </w:p>
        </w:tc>
        <w:tc>
          <w:tcPr>
            <w:tcW w:type="dxa" w:w="2492"/>
          </w:tcPr>
          <w:p>
            <w:pPr>
              <w:pStyle w:val="null3"/>
            </w:pPr>
            <w:r>
              <w:rPr>
                <w:rFonts w:ascii="仿宋_GB2312" w:hAnsi="仿宋_GB2312" w:cs="仿宋_GB2312" w:eastAsia="仿宋_GB2312"/>
              </w:rPr>
              <w:t>针对本项目拟投入人员包括但不限于维修质量检验人员、机修专业维修技工、电器专业维修技工、钣金专业维修技工、液压专业维修技工等，根据人员结构、技能水平等进行综合赋分。 人员结构合理，人员配备齐全，得6分； 人员结构比较合理，人员配备比较齐全，得5分; 人员结构相对合理，人员配备相对齐全，得4分； 人员结构基本合理，人员配备基本齐全，得3分； 人员结构及配备比较简单，需调整后才能满足项目需求得2分； 人员结构及配备有缺漏，得1分；无内容不得分。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拟投入本项目设备配备</w:t>
            </w:r>
          </w:p>
        </w:tc>
        <w:tc>
          <w:tcPr>
            <w:tcW w:type="dxa" w:w="2492"/>
          </w:tcPr>
          <w:p>
            <w:pPr>
              <w:pStyle w:val="null3"/>
            </w:pPr>
            <w:r>
              <w:rPr>
                <w:rFonts w:ascii="仿宋_GB2312" w:hAnsi="仿宋_GB2312" w:cs="仿宋_GB2312" w:eastAsia="仿宋_GB2312"/>
              </w:rPr>
              <w:t>针对拟投入设备配置、耗材种类和数量进行综合赋分。 所提供设备配置合理、满足本项目的服务要求，得6分； 所提供设备配置比较合理、比较能满足本项目的服务要求，得5分； 所提供设备配置相对合理、相对能满足本项目的服务要求，得4分； 所提供设备配置基本合理、基本满足本项目的服务要求，得3分； 所提供设备配置有欠缺、需再完善才能满足项目要求，得2分; 所提供设备配置合理性差、不能满足项目要求，得1分；无内容不得分。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根据供应商提供的维修应急处置措施（包括但不限于设备故障施救服务、行驶事故导致施救服务、焚烧厂救援服务、恶劣天气施救服务等方面）进行综合赋分。 措施内容科学具体，有针对性强，得4分； 措施内容比较具体，针对性较强，得3分； 措施内容相对具体，针对性相对较强，得2分； 措施内容基本具体，有一定指导性，得1分；无内容不得分。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响应时限和保证措施</w:t>
            </w:r>
          </w:p>
        </w:tc>
        <w:tc>
          <w:tcPr>
            <w:tcW w:type="dxa" w:w="2492"/>
          </w:tcPr>
          <w:p>
            <w:pPr>
              <w:pStyle w:val="null3"/>
            </w:pPr>
            <w:r>
              <w:rPr>
                <w:rFonts w:ascii="仿宋_GB2312" w:hAnsi="仿宋_GB2312" w:cs="仿宋_GB2312" w:eastAsia="仿宋_GB2312"/>
              </w:rPr>
              <w:t>针对本项目提供服务及维修的响应时限和保证措施进行综合赋分。 措施内容科学具体，有针对性强，得4分； 措施内容比较具体，针对性较强，得3分； 措施内容相对具体,针对性相对较强，得2分； 措施内容基本具体，有一定指导性，得1分；无内容不得分。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人员培训制度</w:t>
            </w:r>
          </w:p>
        </w:tc>
        <w:tc>
          <w:tcPr>
            <w:tcW w:type="dxa" w:w="2492"/>
          </w:tcPr>
          <w:p>
            <w:pPr>
              <w:pStyle w:val="null3"/>
            </w:pPr>
            <w:r>
              <w:rPr>
                <w:rFonts w:ascii="仿宋_GB2312" w:hAnsi="仿宋_GB2312" w:cs="仿宋_GB2312" w:eastAsia="仿宋_GB2312"/>
              </w:rPr>
              <w:t>根据供应商提供人员培训制度的合理性和科学性进行综合赋分。 培训制度科学具体，有针对性强，得4分； 培训制度比较具体，针对性较强，得3分； 培训制度相对具体，针对性相对较强，得2分； 培训制度基本具体，有一定指导性，得1分；无内容不得分。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设备管理制度</w:t>
            </w:r>
          </w:p>
        </w:tc>
        <w:tc>
          <w:tcPr>
            <w:tcW w:type="dxa" w:w="2492"/>
          </w:tcPr>
          <w:p>
            <w:pPr>
              <w:pStyle w:val="null3"/>
            </w:pPr>
            <w:r>
              <w:rPr>
                <w:rFonts w:ascii="仿宋_GB2312" w:hAnsi="仿宋_GB2312" w:cs="仿宋_GB2312" w:eastAsia="仿宋_GB2312"/>
              </w:rPr>
              <w:t>根据供应商提供设备管理制度的合理性和科学性进行综合赋分。 管理制度科学具体，有针对性强，得4分； 管理制度比较具体，针对性较强，得3分； 管理制度相对具体，针对性相对较强，得2分； 管理制度基本具体，有一定指导性，得1分；无内容不得分。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档案管理措施</w:t>
            </w:r>
          </w:p>
        </w:tc>
        <w:tc>
          <w:tcPr>
            <w:tcW w:type="dxa" w:w="2492"/>
          </w:tcPr>
          <w:p>
            <w:pPr>
              <w:pStyle w:val="null3"/>
            </w:pPr>
            <w:r>
              <w:rPr>
                <w:rFonts w:ascii="仿宋_GB2312" w:hAnsi="仿宋_GB2312" w:cs="仿宋_GB2312" w:eastAsia="仿宋_GB2312"/>
              </w:rPr>
              <w:t>根据供应商提供的设备的维修档案管理措施进行综合赋分。 措施科学具体，有针对性强，得4分； 措施比较具体，针对性较强，得3分； 措施基本具体，有一定指导性，得2分； 措施笼统，指导性差，得2分；无内容不得分。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场地条件</w:t>
            </w:r>
          </w:p>
        </w:tc>
        <w:tc>
          <w:tcPr>
            <w:tcW w:type="dxa" w:w="2492"/>
          </w:tcPr>
          <w:p>
            <w:pPr>
              <w:pStyle w:val="null3"/>
            </w:pPr>
            <w:r>
              <w:rPr>
                <w:rFonts w:ascii="仿宋_GB2312" w:hAnsi="仿宋_GB2312" w:cs="仿宋_GB2312" w:eastAsia="仿宋_GB2312"/>
              </w:rPr>
              <w:t>磋商小组根据供应商提供的维修车间、停车场地、办公场地环境照片及场地布置平面图进行综合赋分。 维修车间、停车场地、办公场地布置合理、功能齐全，得4分； 维修车间、停车场地、办公场布置较合理、功能较齐全，得3分； 维修车间、停车场地、办公场布置基本合理、功能基本齐全，得2分； 维修车间、停车场地、办公场地不合理,得1分；无内容不得分。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提供2021年1月以来类似项目业绩;每提供1份得2分，最高得4分。 注：业绩以合同签订时间为准，供应商应在竞争性磋商响应文件中需提供业绩合同扫描件。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磋商报价（即下浮率最高的报价）为磋商基准价（1-下浮率），其价格分为满分，按（磋商基准价/最终磋商报价）×30的公式计算其得分。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详见附件：技术偏离表1.docx</w:t>
      </w:r>
    </w:p>
    <w:p>
      <w:pPr>
        <w:pStyle w:val="null3"/>
        <w:ind w:firstLine="960"/>
      </w:pPr>
      <w:r>
        <w:rPr>
          <w:rFonts w:ascii="仿宋_GB2312" w:hAnsi="仿宋_GB2312" w:cs="仿宋_GB2312" w:eastAsia="仿宋_GB2312"/>
        </w:rPr>
        <w:t>详见附件：供应商资质证明文件1.docx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详见附件：法定代表人身份证明及法人授权书.docx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