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版本号：ZY2025-ZB-CS104720250701001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测绘基础服务项目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ZY2025-ZB-CS1047</w:t>
      </w:r>
      <w:r>
        <w:br/>
      </w:r>
      <w:r>
        <w:br/>
      </w:r>
      <w:r>
        <w:br/>
      </w:r>
    </w:p>
    <w:p>
      <w:pPr>
        <w:pStyle w:val="null3"/>
        <w:jc w:val="center"/>
        <w:outlineLvl w:val="2"/>
      </w:pPr>
      <w:r>
        <w:rPr>
          <w:rFonts w:ascii="仿宋_GB2312" w:hAnsi="仿宋_GB2312" w:cs="仿宋_GB2312" w:eastAsia="仿宋_GB2312"/>
          <w:sz w:val="28"/>
          <w:b/>
        </w:rPr>
        <w:t>西安市未央区财政局</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西安市未央区财政局</w:t>
      </w:r>
      <w:r>
        <w:rPr>
          <w:rFonts w:ascii="仿宋_GB2312" w:hAnsi="仿宋_GB2312" w:cs="仿宋_GB2312" w:eastAsia="仿宋_GB2312"/>
        </w:rPr>
        <w:t>委托，拟对</w:t>
      </w:r>
      <w:r>
        <w:rPr>
          <w:rFonts w:ascii="仿宋_GB2312" w:hAnsi="仿宋_GB2312" w:cs="仿宋_GB2312" w:eastAsia="仿宋_GB2312"/>
        </w:rPr>
        <w:t>测绘基础服务项目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测绘基础服务项目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测绘基础服务项目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3、税收缴纳证明：提供2024年11月至今已缴纳的至少一个月的纳税证明（时间以税款所属日期为准)，依法免税的单位应提供相关证明材料。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内任意一个月的基本养老保险参保缴费证明，该证明须体现“现缴费单位名称”及“验证二维码”，开标现场进行验证。</w:t>
      </w:r>
    </w:p>
    <w:p>
      <w:pPr>
        <w:pStyle w:val="null3"/>
      </w:pPr>
      <w:r>
        <w:rPr>
          <w:rFonts w:ascii="仿宋_GB2312" w:hAnsi="仿宋_GB2312" w:cs="仿宋_GB2312" w:eastAsia="仿宋_GB2312"/>
        </w:rPr>
        <w:t>9、资质：供应商具备国家测绘行政主管部门颁发的乙级及以上测绘资质证书（专业范围需包含摄影测量与遥感、地理信息系统工程）。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广安路19号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029-86253444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格为基数，依据《招标代理服务收费管理暂行办法》（计价格〔2002〕1980号）和《关于招标代理服务收费有关问题的通知》（发改办价格〔2003〕857号）文件规定执行；不足8000.00元按8000.00元收取。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西安市未央区财政局</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联系电话：029-86210100转809</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辖区土地利用监管手段，针对未央区辖区内违法占地、违法建设的“两违”问题和划拨用地改变用途问题的综合整治要求，区委、区政府整体工作部署，建立“早发现早处理、高时效全方位、少投入成效大”的土地利用监测管理工作体系，全面摸排和清查辖区内违法用地的占地面积、建筑占地面积以及建筑面积，全面摸排和清查辖区内划拨用地改变土地用途的占地面积、建筑占地面积以及建筑面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测绘基础服务项目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标的名称：测绘基础服务项目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rPr>
              <w:t>一、项目背景</w:t>
            </w:r>
          </w:p>
          <w:p>
            <w:pPr>
              <w:pStyle w:val="null3"/>
              <w:ind w:firstLine="480"/>
            </w:pPr>
            <w:r>
              <w:rPr>
                <w:rFonts w:ascii="仿宋_GB2312" w:hAnsi="仿宋_GB2312" w:cs="仿宋_GB2312" w:eastAsia="仿宋_GB2312"/>
              </w:rPr>
              <w:t>为加强辖区土地利用监管手段，针对未央区（包含开发区）辖区内违法占地、违法建设的“两违”问题和划拨用地改变用途问题的综合整治要求，区委、区政府整体工作部署，建立“早发现早处理、高时效全方位、少投入成效大”的土地利用监测管理工作体系，全面摸排和清查辖区内违法用地的占地面积、建筑占地面积以及建筑面积，全面摸排和清查辖区内划拨用地改变土地用途的占地面积、建筑占地面积以及建筑面积。</w:t>
            </w:r>
          </w:p>
          <w:p>
            <w:pPr>
              <w:pStyle w:val="null3"/>
              <w:ind w:firstLine="480"/>
            </w:pPr>
            <w:r>
              <w:rPr>
                <w:rFonts w:ascii="仿宋_GB2312" w:hAnsi="仿宋_GB2312" w:cs="仿宋_GB2312" w:eastAsia="仿宋_GB2312"/>
              </w:rPr>
              <w:t>二、项目实施范围</w:t>
            </w:r>
          </w:p>
          <w:p>
            <w:pPr>
              <w:pStyle w:val="null3"/>
              <w:ind w:firstLine="480"/>
            </w:pPr>
            <w:r>
              <w:rPr>
                <w:rFonts w:ascii="仿宋_GB2312" w:hAnsi="仿宋_GB2312" w:cs="仿宋_GB2312" w:eastAsia="仿宋_GB2312"/>
              </w:rPr>
              <w:t>项目范围覆盖未央行政辖区和西安经开区，主要范围含：4396宗划拨用地（合9089亩）、354宗罚没项目以及测绘拆除项目的现状，主要服务包含资料收集整理、初始建库、调查核实、数据库建设、面积计算与汇总、质量控制和日常维护等工作。</w:t>
            </w:r>
          </w:p>
          <w:p>
            <w:pPr>
              <w:pStyle w:val="null3"/>
              <w:ind w:firstLine="480"/>
            </w:pPr>
            <w:r>
              <w:rPr>
                <w:rFonts w:ascii="仿宋_GB2312" w:hAnsi="仿宋_GB2312" w:cs="仿宋_GB2312" w:eastAsia="仿宋_GB2312"/>
              </w:rPr>
              <w:t>三、项目主要实施内容</w:t>
            </w:r>
          </w:p>
          <w:p>
            <w:pPr>
              <w:pStyle w:val="null3"/>
              <w:ind w:firstLine="480"/>
            </w:pPr>
            <w:r>
              <w:rPr>
                <w:rFonts w:ascii="仿宋_GB2312" w:hAnsi="仿宋_GB2312" w:cs="仿宋_GB2312" w:eastAsia="仿宋_GB2312"/>
              </w:rPr>
              <w:t>为了缓解监管人力不足、降低总体治理经费投入、解决常规监察执法滞后、促进区域土地利用和生态环境保护，提升全区土地利用管理工作效率。拟引入第三方技术单位对辖区内违法和划拨改变用途用地进行下述工作。</w:t>
            </w:r>
          </w:p>
          <w:p>
            <w:pPr>
              <w:pStyle w:val="null3"/>
              <w:ind w:firstLine="480"/>
            </w:pPr>
            <w:r>
              <w:rPr>
                <w:rFonts w:ascii="仿宋_GB2312" w:hAnsi="仿宋_GB2312" w:cs="仿宋_GB2312" w:eastAsia="仿宋_GB2312"/>
              </w:rPr>
              <w:t>1、资料收集整理</w:t>
            </w:r>
          </w:p>
          <w:p>
            <w:pPr>
              <w:pStyle w:val="null3"/>
              <w:ind w:firstLine="480"/>
            </w:pPr>
            <w:r>
              <w:rPr>
                <w:rFonts w:ascii="仿宋_GB2312" w:hAnsi="仿宋_GB2312" w:cs="仿宋_GB2312" w:eastAsia="仿宋_GB2312"/>
              </w:rPr>
              <w:t>收集未央区（包含开发区）三调数据；三区三线数据；权属数据；现状数据；划拨用地审批数据；划拨用地使用权数据；遥感影像数据；项目涉及的其他相关矢量数据、存量数据、遥感影像等相关资料，并将其他平面坐标系统数据统一转换为CGCS2000坐标系。</w:t>
            </w:r>
          </w:p>
          <w:p>
            <w:pPr>
              <w:pStyle w:val="null3"/>
              <w:ind w:firstLine="480"/>
            </w:pPr>
            <w:r>
              <w:rPr>
                <w:rFonts w:ascii="仿宋_GB2312" w:hAnsi="仿宋_GB2312" w:cs="仿宋_GB2312" w:eastAsia="仿宋_GB2312"/>
              </w:rPr>
              <w:t>2、数据整合及初始建库</w:t>
            </w:r>
          </w:p>
          <w:p>
            <w:pPr>
              <w:pStyle w:val="null3"/>
              <w:ind w:firstLine="480"/>
            </w:pPr>
            <w:r>
              <w:rPr>
                <w:rFonts w:ascii="仿宋_GB2312" w:hAnsi="仿宋_GB2312" w:cs="仿宋_GB2312" w:eastAsia="仿宋_GB2312"/>
              </w:rPr>
              <w:t>建立资料汇总库、图斑比对、疑似变更用途宗地图斑提取汇总、绘制未央区（包含开发区）辖区疑似变更划拨用图工作底图、图件印制等工作；建立疑似违法、改变用途初始数据库，初步筛查辖区内疑似违法、改变用途地块和面积。</w:t>
            </w:r>
          </w:p>
          <w:p>
            <w:pPr>
              <w:pStyle w:val="null3"/>
              <w:ind w:firstLine="480"/>
            </w:pPr>
            <w:r>
              <w:rPr>
                <w:rFonts w:ascii="仿宋_GB2312" w:hAnsi="仿宋_GB2312" w:cs="仿宋_GB2312" w:eastAsia="仿宋_GB2312"/>
              </w:rPr>
              <w:t>3、调查核实</w:t>
            </w:r>
          </w:p>
          <w:p>
            <w:pPr>
              <w:pStyle w:val="null3"/>
              <w:ind w:firstLine="480"/>
            </w:pPr>
            <w:r>
              <w:rPr>
                <w:rFonts w:ascii="仿宋_GB2312" w:hAnsi="仿宋_GB2312" w:cs="仿宋_GB2312" w:eastAsia="仿宋_GB2312"/>
              </w:rPr>
              <w:t>配合政府部门对辖区内初步筛查发现的疑似违法、改变用途用地进行调查核实，填写宗地信息台账，佐证材料收集汇总存档。</w:t>
            </w:r>
          </w:p>
          <w:p>
            <w:pPr>
              <w:pStyle w:val="null3"/>
              <w:ind w:firstLine="480"/>
            </w:pPr>
            <w:r>
              <w:rPr>
                <w:rFonts w:ascii="仿宋_GB2312" w:hAnsi="仿宋_GB2312" w:cs="仿宋_GB2312" w:eastAsia="仿宋_GB2312"/>
              </w:rPr>
              <w:t>4、数据库建设</w:t>
            </w:r>
          </w:p>
          <w:p>
            <w:pPr>
              <w:pStyle w:val="null3"/>
              <w:ind w:firstLine="480"/>
            </w:pPr>
            <w:r>
              <w:rPr>
                <w:rFonts w:ascii="仿宋_GB2312" w:hAnsi="仿宋_GB2312" w:cs="仿宋_GB2312" w:eastAsia="仿宋_GB2312"/>
              </w:rPr>
              <w:t>以宗地为单元将调查核实数据导入初始数据库，根据违法和划拨改变用途调查统计需要，建设“未央区违法和划拨用地改变用途数据库”。</w:t>
            </w:r>
          </w:p>
          <w:p>
            <w:pPr>
              <w:pStyle w:val="null3"/>
              <w:ind w:firstLine="480"/>
            </w:pPr>
            <w:r>
              <w:rPr>
                <w:rFonts w:ascii="仿宋_GB2312" w:hAnsi="仿宋_GB2312" w:cs="仿宋_GB2312" w:eastAsia="仿宋_GB2312"/>
              </w:rPr>
              <w:t>5、面积计算与汇总</w:t>
            </w:r>
          </w:p>
          <w:p>
            <w:pPr>
              <w:pStyle w:val="null3"/>
              <w:ind w:firstLine="480"/>
            </w:pPr>
            <w:r>
              <w:rPr>
                <w:rFonts w:ascii="仿宋_GB2312" w:hAnsi="仿宋_GB2312" w:cs="仿宋_GB2312" w:eastAsia="仿宋_GB2312"/>
              </w:rPr>
              <w:t>配合自然资源执法部门确定违法和划拨改变用途用地的占地面积、建筑占地面积以及建筑面积。通过专业遥感影像数据、无人机、测量测绘设备、交通工具、专业软件等支撑项目开展，协助未央区（包含开发区）区政府及各街道办事处日常检查工作。</w:t>
            </w:r>
          </w:p>
          <w:p>
            <w:pPr>
              <w:pStyle w:val="null3"/>
              <w:ind w:firstLine="480"/>
            </w:pPr>
            <w:r>
              <w:rPr>
                <w:rFonts w:ascii="仿宋_GB2312" w:hAnsi="仿宋_GB2312" w:cs="仿宋_GB2312" w:eastAsia="仿宋_GB2312"/>
              </w:rPr>
              <w:t>6、日常维护</w:t>
            </w:r>
          </w:p>
          <w:p>
            <w:pPr>
              <w:pStyle w:val="null3"/>
              <w:ind w:firstLine="480"/>
            </w:pPr>
            <w:r>
              <w:rPr>
                <w:rFonts w:ascii="仿宋_GB2312" w:hAnsi="仿宋_GB2312" w:cs="仿宋_GB2312" w:eastAsia="仿宋_GB2312"/>
              </w:rPr>
              <w:t>根据采购人需求对未央区（包含开发区）辖区内新增违法和划拨改变用途用地数据进行整理入库并实时更新。</w:t>
            </w:r>
          </w:p>
          <w:p>
            <w:pPr>
              <w:pStyle w:val="null3"/>
              <w:ind w:firstLine="480"/>
            </w:pPr>
            <w:r>
              <w:rPr>
                <w:rFonts w:ascii="仿宋_GB2312" w:hAnsi="仿宋_GB2312" w:cs="仿宋_GB2312" w:eastAsia="仿宋_GB2312"/>
              </w:rPr>
              <w:t>四、项目实施要求及规范</w:t>
            </w:r>
          </w:p>
          <w:p>
            <w:pPr>
              <w:pStyle w:val="null3"/>
              <w:ind w:firstLine="480"/>
            </w:pPr>
            <w:r>
              <w:rPr>
                <w:rFonts w:ascii="仿宋_GB2312" w:hAnsi="仿宋_GB2312" w:cs="仿宋_GB2312" w:eastAsia="仿宋_GB2312"/>
              </w:rPr>
              <w:t>1、坐标系统</w:t>
            </w:r>
          </w:p>
          <w:p>
            <w:pPr>
              <w:pStyle w:val="null3"/>
              <w:ind w:firstLine="480"/>
            </w:pPr>
            <w:r>
              <w:rPr>
                <w:rFonts w:ascii="仿宋_GB2312" w:hAnsi="仿宋_GB2312" w:cs="仿宋_GB2312" w:eastAsia="仿宋_GB2312"/>
              </w:rPr>
              <w:t>采用CGCS2000国家大地标系。</w:t>
            </w:r>
          </w:p>
          <w:p>
            <w:pPr>
              <w:pStyle w:val="null3"/>
              <w:ind w:firstLine="480"/>
            </w:pPr>
            <w:r>
              <w:rPr>
                <w:rFonts w:ascii="仿宋_GB2312" w:hAnsi="仿宋_GB2312" w:cs="仿宋_GB2312" w:eastAsia="仿宋_GB2312"/>
              </w:rPr>
              <w:t>2、高程基准</w:t>
            </w:r>
          </w:p>
          <w:p>
            <w:pPr>
              <w:pStyle w:val="null3"/>
              <w:ind w:firstLine="480"/>
            </w:pPr>
            <w:r>
              <w:rPr>
                <w:rFonts w:ascii="仿宋_GB2312" w:hAnsi="仿宋_GB2312" w:cs="仿宋_GB2312" w:eastAsia="仿宋_GB2312"/>
              </w:rPr>
              <w:t>采用1985国家高程基准。</w:t>
            </w:r>
          </w:p>
          <w:p>
            <w:pPr>
              <w:pStyle w:val="null3"/>
              <w:ind w:firstLine="480"/>
            </w:pPr>
            <w:r>
              <w:rPr>
                <w:rFonts w:ascii="仿宋_GB2312" w:hAnsi="仿宋_GB2312" w:cs="仿宋_GB2312" w:eastAsia="仿宋_GB2312"/>
              </w:rPr>
              <w:t>3、投影方式</w:t>
            </w:r>
          </w:p>
          <w:p>
            <w:pPr>
              <w:pStyle w:val="null3"/>
              <w:ind w:firstLine="480"/>
            </w:pPr>
            <w:r>
              <w:rPr>
                <w:rFonts w:ascii="仿宋_GB2312" w:hAnsi="仿宋_GB2312" w:cs="仿宋_GB2312" w:eastAsia="仿宋_GB2312"/>
              </w:rPr>
              <w:t>高斯-克吕格投影3°分带，中央子午线108°。</w:t>
            </w:r>
          </w:p>
          <w:p>
            <w:pPr>
              <w:pStyle w:val="null3"/>
              <w:ind w:firstLine="480"/>
            </w:pPr>
            <w:r>
              <w:rPr>
                <w:rFonts w:ascii="仿宋_GB2312" w:hAnsi="仿宋_GB2312" w:cs="仿宋_GB2312" w:eastAsia="仿宋_GB2312"/>
              </w:rPr>
              <w:t>4、计量单位</w:t>
            </w:r>
          </w:p>
          <w:p>
            <w:pPr>
              <w:pStyle w:val="null3"/>
              <w:ind w:firstLine="480"/>
            </w:pPr>
            <w:r>
              <w:rPr>
                <w:rFonts w:ascii="仿宋_GB2312" w:hAnsi="仿宋_GB2312" w:cs="仿宋_GB2312" w:eastAsia="仿宋_GB2312"/>
              </w:rPr>
              <w:t>长度、宽度单位采用米（m），精度0.1米；面积计算单位采用平方米（m2），精度0.01平方米；面积统计汇总单位采用亩，精度0.01亩。</w:t>
            </w:r>
          </w:p>
          <w:p>
            <w:pPr>
              <w:pStyle w:val="null3"/>
              <w:ind w:firstLine="480"/>
            </w:pPr>
            <w:r>
              <w:rPr>
                <w:rFonts w:ascii="仿宋_GB2312" w:hAnsi="仿宋_GB2312" w:cs="仿宋_GB2312" w:eastAsia="仿宋_GB2312"/>
              </w:rPr>
              <w:t>5、服务技术标准及法规</w:t>
            </w:r>
          </w:p>
          <w:p>
            <w:pPr>
              <w:pStyle w:val="null3"/>
              <w:ind w:firstLine="480"/>
            </w:pPr>
            <w:r>
              <w:rPr>
                <w:rFonts w:ascii="仿宋_GB2312" w:hAnsi="仿宋_GB2312" w:cs="仿宋_GB2312" w:eastAsia="仿宋_GB2312"/>
              </w:rPr>
              <w:t>（1）《中华人民共和国土地管理法》；</w:t>
            </w:r>
          </w:p>
          <w:p>
            <w:pPr>
              <w:pStyle w:val="null3"/>
              <w:ind w:firstLine="480"/>
            </w:pPr>
            <w:r>
              <w:rPr>
                <w:rFonts w:ascii="仿宋_GB2312" w:hAnsi="仿宋_GB2312" w:cs="仿宋_GB2312" w:eastAsia="仿宋_GB2312"/>
              </w:rPr>
              <w:t>（2）《中华人民共和国土地管理法实施条例》；</w:t>
            </w:r>
          </w:p>
          <w:p>
            <w:pPr>
              <w:pStyle w:val="null3"/>
              <w:ind w:firstLine="480"/>
            </w:pPr>
            <w:r>
              <w:rPr>
                <w:rFonts w:ascii="仿宋_GB2312" w:hAnsi="仿宋_GB2312" w:cs="仿宋_GB2312" w:eastAsia="仿宋_GB2312"/>
              </w:rPr>
              <w:t>（3）《工程测量标准》(GB 50026) ；</w:t>
            </w:r>
          </w:p>
          <w:p>
            <w:pPr>
              <w:pStyle w:val="null3"/>
              <w:ind w:firstLine="480"/>
            </w:pPr>
            <w:r>
              <w:rPr>
                <w:rFonts w:ascii="仿宋_GB2312" w:hAnsi="仿宋_GB2312" w:cs="仿宋_GB2312" w:eastAsia="仿宋_GB2312"/>
              </w:rPr>
              <w:t>（4）《房产测量规范》(GB/T 17986) ；</w:t>
            </w:r>
          </w:p>
          <w:p>
            <w:pPr>
              <w:pStyle w:val="null3"/>
              <w:ind w:firstLine="480"/>
            </w:pPr>
            <w:r>
              <w:rPr>
                <w:rFonts w:ascii="仿宋_GB2312" w:hAnsi="仿宋_GB2312" w:cs="仿宋_GB2312" w:eastAsia="仿宋_GB2312"/>
              </w:rPr>
              <w:t>（5）《数字测绘产品检查验收规定和质量评定》(GB/T 18316) ；</w:t>
            </w:r>
          </w:p>
          <w:p>
            <w:pPr>
              <w:pStyle w:val="null3"/>
              <w:ind w:firstLine="480"/>
            </w:pPr>
            <w:r>
              <w:rPr>
                <w:rFonts w:ascii="仿宋_GB2312" w:hAnsi="仿宋_GB2312" w:cs="仿宋_GB2312" w:eastAsia="仿宋_GB2312"/>
              </w:rPr>
              <w:t>（6）《国家基本比例尺地图图式第1部；分: 1:500 1:1000 1:2000地形图图式》(GB/T 20257.1) ；</w:t>
            </w:r>
          </w:p>
          <w:p>
            <w:pPr>
              <w:pStyle w:val="null3"/>
              <w:ind w:firstLine="480"/>
            </w:pPr>
            <w:r>
              <w:rPr>
                <w:rFonts w:ascii="仿宋_GB2312" w:hAnsi="仿宋_GB2312" w:cs="仿宋_GB2312" w:eastAsia="仿宋_GB2312"/>
              </w:rPr>
              <w:t>（7）《测绘产品质量评定标准》（CH/T 1003-95）；</w:t>
            </w:r>
          </w:p>
          <w:p>
            <w:pPr>
              <w:pStyle w:val="null3"/>
              <w:ind w:firstLine="480"/>
            </w:pPr>
            <w:r>
              <w:rPr>
                <w:rFonts w:ascii="仿宋_GB2312" w:hAnsi="仿宋_GB2312" w:cs="仿宋_GB2312" w:eastAsia="仿宋_GB2312"/>
              </w:rPr>
              <w:t>（8）《测绘成果质量检查与验收》(GB/T24356) ；</w:t>
            </w:r>
          </w:p>
          <w:p>
            <w:pPr>
              <w:pStyle w:val="null3"/>
              <w:ind w:firstLine="480"/>
            </w:pPr>
            <w:r>
              <w:rPr>
                <w:rFonts w:ascii="仿宋_GB2312" w:hAnsi="仿宋_GB2312" w:cs="仿宋_GB2312" w:eastAsia="仿宋_GB2312"/>
              </w:rPr>
              <w:t>（9）《建筑工程建筑面积计算规范》(GB/T 50353) ；</w:t>
            </w:r>
          </w:p>
          <w:p>
            <w:pPr>
              <w:pStyle w:val="null3"/>
              <w:ind w:firstLine="480"/>
            </w:pPr>
            <w:r>
              <w:rPr>
                <w:rFonts w:ascii="仿宋_GB2312" w:hAnsi="仿宋_GB2312" w:cs="仿宋_GB2312" w:eastAsia="仿宋_GB2312"/>
              </w:rPr>
              <w:t>（10）《地籍测绘规范》(CH 5002) ；</w:t>
            </w:r>
          </w:p>
          <w:p>
            <w:pPr>
              <w:pStyle w:val="null3"/>
              <w:ind w:firstLine="480"/>
            </w:pPr>
            <w:r>
              <w:rPr>
                <w:rFonts w:ascii="仿宋_GB2312" w:hAnsi="仿宋_GB2312" w:cs="仿宋_GB2312" w:eastAsia="仿宋_GB2312"/>
              </w:rPr>
              <w:t>（11）《地籍图图式》(CH 5003) ；</w:t>
            </w:r>
          </w:p>
          <w:p>
            <w:pPr>
              <w:pStyle w:val="null3"/>
              <w:ind w:firstLine="480"/>
            </w:pPr>
            <w:r>
              <w:rPr>
                <w:rFonts w:ascii="仿宋_GB2312" w:hAnsi="仿宋_GB2312" w:cs="仿宋_GB2312" w:eastAsia="仿宋_GB2312"/>
              </w:rPr>
              <w:t>（12）《城市测量规范》(CJJ/T 8) ；</w:t>
            </w:r>
          </w:p>
          <w:p>
            <w:pPr>
              <w:pStyle w:val="null3"/>
              <w:ind w:firstLine="480"/>
            </w:pPr>
            <w:r>
              <w:rPr>
                <w:rFonts w:ascii="仿宋_GB2312" w:hAnsi="仿宋_GB2312" w:cs="仿宋_GB2312" w:eastAsia="仿宋_GB2312"/>
              </w:rPr>
              <w:t>（13）《地籍调查规程》(TD/T 1001) ；</w:t>
            </w:r>
          </w:p>
          <w:p>
            <w:pPr>
              <w:pStyle w:val="null3"/>
              <w:ind w:firstLine="480"/>
            </w:pPr>
            <w:r>
              <w:rPr>
                <w:rFonts w:ascii="仿宋_GB2312" w:hAnsi="仿宋_GB2312" w:cs="仿宋_GB2312" w:eastAsia="仿宋_GB2312"/>
              </w:rPr>
              <w:t>（14）《土地勘测定界规程》(TD/T 1008) ；</w:t>
            </w:r>
          </w:p>
          <w:p>
            <w:pPr>
              <w:pStyle w:val="null3"/>
              <w:ind w:firstLine="480"/>
            </w:pPr>
            <w:r>
              <w:rPr>
                <w:rFonts w:ascii="仿宋_GB2312" w:hAnsi="仿宋_GB2312" w:cs="仿宋_GB2312" w:eastAsia="仿宋_GB2312"/>
              </w:rPr>
              <w:t>（15）《土地利用现状分类》(GB/T 21010) ；</w:t>
            </w:r>
          </w:p>
          <w:p>
            <w:pPr>
              <w:pStyle w:val="null3"/>
              <w:ind w:firstLine="480"/>
            </w:pPr>
            <w:r>
              <w:rPr>
                <w:rFonts w:ascii="仿宋_GB2312" w:hAnsi="仿宋_GB2312" w:cs="仿宋_GB2312" w:eastAsia="仿宋_GB2312"/>
              </w:rPr>
              <w:t>（16）《土地利用数据标准》（TD/T1016-2007）。</w:t>
            </w:r>
          </w:p>
          <w:p>
            <w:pPr>
              <w:pStyle w:val="null3"/>
              <w:ind w:firstLine="480"/>
            </w:pPr>
            <w:r>
              <w:rPr>
                <w:rFonts w:ascii="仿宋_GB2312" w:hAnsi="仿宋_GB2312" w:cs="仿宋_GB2312" w:eastAsia="仿宋_GB2312"/>
              </w:rPr>
              <w:t>以及国家、地方相关法律法规、政策性文件，以上规范和标准如有变化，以最新发布的为准。</w:t>
            </w:r>
          </w:p>
          <w:p>
            <w:pPr>
              <w:pStyle w:val="null3"/>
              <w:ind w:firstLine="480"/>
            </w:pPr>
            <w:r>
              <w:rPr>
                <w:rFonts w:ascii="仿宋_GB2312" w:hAnsi="仿宋_GB2312" w:cs="仿宋_GB2312" w:eastAsia="仿宋_GB2312"/>
              </w:rPr>
              <w:t>6、人数要求</w:t>
            </w:r>
          </w:p>
          <w:p>
            <w:pPr>
              <w:pStyle w:val="null3"/>
              <w:ind w:firstLine="480"/>
            </w:pPr>
            <w:r>
              <w:rPr>
                <w:rFonts w:ascii="仿宋_GB2312" w:hAnsi="仿宋_GB2312" w:cs="仿宋_GB2312" w:eastAsia="仿宋_GB2312"/>
              </w:rPr>
              <w:t>提供不少于20人的项目服务团队，其中至少包含：项目负责人1人、技术负责人1人、作业人员（含驻场人员）不少于18人。</w:t>
            </w:r>
          </w:p>
          <w:p>
            <w:pPr>
              <w:pStyle w:val="null3"/>
              <w:ind w:firstLine="480"/>
            </w:pPr>
            <w:r>
              <w:rPr>
                <w:rFonts w:ascii="仿宋_GB2312" w:hAnsi="仿宋_GB2312" w:cs="仿宋_GB2312" w:eastAsia="仿宋_GB2312"/>
              </w:rPr>
              <w:t>7、设备要求</w:t>
            </w:r>
          </w:p>
          <w:p>
            <w:pPr>
              <w:pStyle w:val="null3"/>
              <w:ind w:firstLine="480"/>
            </w:pPr>
            <w:r>
              <w:rPr>
                <w:rFonts w:ascii="仿宋_GB2312" w:hAnsi="仿宋_GB2312" w:cs="仿宋_GB2312" w:eastAsia="仿宋_GB2312"/>
              </w:rPr>
              <w:t>提供能完成本次测绘项目的仪器设备及相关技术支撑软件、至少包含无人机、全站仪、RTK、测距仪、彩色绘图仪、扫描仪、打印机、电脑、工程车辆及其他作业软件等本项目实施所需设备及软件。</w:t>
            </w:r>
          </w:p>
          <w:p>
            <w:pPr>
              <w:pStyle w:val="null3"/>
              <w:ind w:firstLine="480"/>
            </w:pPr>
            <w:r>
              <w:rPr>
                <w:rFonts w:ascii="仿宋_GB2312" w:hAnsi="仿宋_GB2312" w:cs="仿宋_GB2312" w:eastAsia="仿宋_GB2312"/>
              </w:rPr>
              <w:t>五、服务期</w:t>
            </w:r>
          </w:p>
          <w:p>
            <w:pPr>
              <w:pStyle w:val="null3"/>
              <w:ind w:firstLine="480"/>
            </w:pPr>
            <w:r>
              <w:rPr>
                <w:rFonts w:ascii="仿宋_GB2312" w:hAnsi="仿宋_GB2312" w:cs="仿宋_GB2312" w:eastAsia="仿宋_GB2312"/>
              </w:rPr>
              <w:t>合同签订之日起1年。</w:t>
            </w:r>
          </w:p>
          <w:p>
            <w:pPr>
              <w:pStyle w:val="null3"/>
              <w:ind w:firstLine="480"/>
            </w:pPr>
            <w:r>
              <w:rPr>
                <w:rFonts w:ascii="仿宋_GB2312" w:hAnsi="仿宋_GB2312" w:cs="仿宋_GB2312" w:eastAsia="仿宋_GB2312"/>
              </w:rPr>
              <w:t>六、保密要求</w:t>
            </w:r>
          </w:p>
          <w:p>
            <w:pPr>
              <w:pStyle w:val="null3"/>
              <w:ind w:firstLine="480"/>
            </w:pPr>
            <w:r>
              <w:rPr>
                <w:rFonts w:ascii="仿宋_GB2312" w:hAnsi="仿宋_GB2312" w:cs="仿宋_GB2312" w:eastAsia="仿宋_GB2312"/>
              </w:rPr>
              <w:t>本项目资料、数据涉密，涉及核心资料、数据转换处理的技术人员需具备相关保密证书。</w:t>
            </w:r>
          </w:p>
          <w:p>
            <w:pPr>
              <w:pStyle w:val="null3"/>
              <w:ind w:firstLine="480"/>
            </w:pPr>
            <w:r>
              <w:rPr>
                <w:rFonts w:ascii="仿宋_GB2312" w:hAnsi="仿宋_GB2312" w:cs="仿宋_GB2312" w:eastAsia="仿宋_GB2312"/>
              </w:rPr>
              <w:t>七、测绘成果报告</w:t>
            </w:r>
          </w:p>
          <w:p>
            <w:pPr>
              <w:pStyle w:val="null3"/>
              <w:ind w:firstLine="480"/>
            </w:pPr>
            <w:r>
              <w:rPr>
                <w:rFonts w:ascii="仿宋_GB2312" w:hAnsi="仿宋_GB2312" w:cs="仿宋_GB2312" w:eastAsia="仿宋_GB2312"/>
              </w:rPr>
              <w:t>1.成果形式包含：文字报告、表格成果、图件成果、数据库；</w:t>
            </w:r>
          </w:p>
          <w:p>
            <w:pPr>
              <w:pStyle w:val="null3"/>
              <w:ind w:firstLine="480"/>
            </w:pPr>
            <w:r>
              <w:rPr>
                <w:rFonts w:ascii="仿宋_GB2312" w:hAnsi="仿宋_GB2312" w:cs="仿宋_GB2312" w:eastAsia="仿宋_GB2312"/>
              </w:rPr>
              <w:t>2.一案一册</w:t>
            </w:r>
          </w:p>
          <w:p>
            <w:pPr>
              <w:pStyle w:val="null3"/>
              <w:ind w:firstLine="480"/>
            </w:pPr>
            <w:r>
              <w:rPr>
                <w:rFonts w:ascii="仿宋_GB2312" w:hAnsi="仿宋_GB2312" w:cs="仿宋_GB2312" w:eastAsia="仿宋_GB2312"/>
              </w:rPr>
              <w:t>八、合同价款：</w:t>
            </w:r>
          </w:p>
          <w:p>
            <w:pPr>
              <w:pStyle w:val="null3"/>
              <w:ind w:firstLine="480"/>
            </w:pPr>
            <w:r>
              <w:rPr>
                <w:rFonts w:ascii="仿宋_GB2312" w:hAnsi="仿宋_GB2312" w:cs="仿宋_GB2312" w:eastAsia="仿宋_GB2312"/>
              </w:rPr>
              <w:t xml:space="preserve">  1、合同总价一次包死，不受市场价变化或实际工作量变化的影响。</w:t>
            </w:r>
          </w:p>
          <w:p>
            <w:pPr>
              <w:pStyle w:val="null3"/>
              <w:ind w:firstLine="480"/>
            </w:pPr>
            <w:r>
              <w:rPr>
                <w:rFonts w:ascii="仿宋_GB2312" w:hAnsi="仿宋_GB2312" w:cs="仿宋_GB2312" w:eastAsia="仿宋_GB2312"/>
              </w:rPr>
              <w:t>2、付款方式和程序：</w:t>
            </w:r>
          </w:p>
          <w:p>
            <w:pPr>
              <w:pStyle w:val="null3"/>
              <w:ind w:firstLine="480"/>
            </w:pPr>
            <w:r>
              <w:rPr>
                <w:rFonts w:ascii="仿宋_GB2312" w:hAnsi="仿宋_GB2312" w:cs="仿宋_GB2312" w:eastAsia="仿宋_GB2312"/>
              </w:rPr>
              <w:t>（1）由采购人负责结算，在每次付款前，供应商必须开具全额发票给采购人。</w:t>
            </w:r>
          </w:p>
          <w:p>
            <w:pPr>
              <w:pStyle w:val="null3"/>
              <w:ind w:firstLine="480"/>
            </w:pPr>
            <w:r>
              <w:rPr>
                <w:rFonts w:ascii="仿宋_GB2312" w:hAnsi="仿宋_GB2312" w:cs="仿宋_GB2312" w:eastAsia="仿宋_GB2312"/>
              </w:rPr>
              <w:t>（2）付款方式：</w:t>
            </w:r>
          </w:p>
          <w:p>
            <w:pPr>
              <w:pStyle w:val="null3"/>
              <w:ind w:firstLine="480"/>
            </w:pPr>
            <w:r>
              <w:rPr>
                <w:rFonts w:ascii="仿宋_GB2312" w:hAnsi="仿宋_GB2312" w:cs="仿宋_GB2312" w:eastAsia="仿宋_GB2312"/>
              </w:rPr>
              <w:t>①项目合同签订后，达到付款条件起10日内，支付合同总金额的40%；</w:t>
            </w:r>
          </w:p>
          <w:p>
            <w:pPr>
              <w:pStyle w:val="null3"/>
              <w:jc w:val="both"/>
            </w:pPr>
            <w:r>
              <w:rPr>
                <w:rFonts w:ascii="仿宋_GB2312" w:hAnsi="仿宋_GB2312" w:cs="仿宋_GB2312" w:eastAsia="仿宋_GB2312"/>
              </w:rPr>
              <w:t>②项目服务期结束且验收合格后，达到付款条件起10日内，支付合同总金额的60%。（如果成交单位为中小企业，则按照《保障中小企业款项支付条例》相关规定执行）。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因违反或终止合同而引起的对对方损失和损害的赔偿，双方应当协商解决，如未能达成一致，可提交主管部门协调，如仍未能达成一致时，向采购人所在地人民法院起诉。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需提供身份证复印件； 3.4.2（响应文件格式-标的清单）本项目服务范围：测绘基础服务项目；服务要求：符合采购文件有关技术、商务要求；服务标准：符合国家和省、市有关行业标准及采购人的有关规定。 3.4.3付款方式（支付约定）以磋商文件“第三章 磋商项目技术、服务、商务及其他要求-技术参数与性能指标-付款方式”为准。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其他附件.docx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内任意一个月的基本养老保险参保缴费证明，该证明须体现“现缴费单位名称”及“验证二维码”，开标现场进行验证。</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供应商具备国家测绘行政主管部门颁发的乙级及以上测绘资质证书（专业范围需包含摄影测量与遥感、地理信息系统工程）。</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标的清单 报价表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标的清单 响应函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响应文件封面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响应函 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区间分值0-8分。 评审标准细化内容： 包括但不限于①项目背景；②项目需求；③服务内容；④工作目标等进行综合评审。 评审标准： 1、完整性：内容详细全面，对本项目了解透彻； 2、可实施性：切合本项目实际情况，描述贴合实际和本次采购要求； 3、针对性：对项目的理解要有足够的针对性，需要紧扣项目实际情况。 评审标准量化内容： （1）各部分内容全面详细、阐述条理清晰详尽、符合本项目采购需求得8分；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区间分值：0-18分。 评审标准细化内容： 包括但不限于①前期资料收集；②作业方案；③数据库建立及更新方案；④沟通协调方案；⑤项目成果资料统筹及分类归档方案；⑥保密方案等内容；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（1）各部分内容全面详细、阐述条理清晰详尽、符合本项目采购需求得18分；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区间分值：0-2分。 评审标准细化内容： 指①针对本项目的重难点分析；②针对重难点分析后的预防及解决措施等内容。 评审标准 1、完整性：针对本项目的重难点分析及预防解决措施，有详细描述； 2、可实施性：结合本项目实际情况，提出步骤清晰、合理的措施。 3、针对性：方案能够紧扣项目实际情况，内容科学合理； 评审标准量化内容： （1）评审标准细化内容全面详细、阐述条理清晰详尽、符合本项目采购需求得2分； (2)评审标准细化内容每缺少一项内容扣1分； (3)评审标准细化内容缺失则不得分，每有一处内容存在缺陷或不足的扣0.5分，该项分值扣完为止。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区间分值0-4分。 评审标准细化内容： 包括但不限于供应商针对本项目提出①进度计划安排；②进度计划保证措施。 评审标准： 1、完整性：计划详细全面，符合项目采购要求；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区间分值0-5分。 评审标准细化内容： 包括但不限于①相关设备投入计划安排；②设备保证措施等。 评审标准： 1、完整性：拟投入设备详细全面，符合项目采购要求； 2、可实施性：切合本项目实际情况，拟投入设备合理、可行； 3、针对性：能够紧扣项目实际情况，拟投入设备科学、合理； 评审标准量化内容： （1）评审标准细化内容全面详细、阐述条理清晰详尽、符合本项目采购需求得5分； （2）评审标准细化内容每缺少一项内容扣2.5分；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区间分值：0-15分。 评审标准细化及量化内容： 1、项目负责人：具有主管部门颁发的测绘高级职称证书、注册测绘师资格证书、国家基础地理信息中心颁发的《地理信息安全保密培训证书》、响应单位为项目负责人社保缴纳证明计3分。注：提供项目负责人相关证书复印件，开标日期前三个月内供应商为其缴纳的至少一个月的社保缴纳证明，不提供或提供不全不得分。 2、技术负责人：具有主管部门颁发的测绘高级职称证书、注册测绘师资格证书、国家基础地理信息中心颁发的《地理信息安全保密培训证书》、响应单位为技术负责人社保缴纳证明计3分。注：提供技术负责人相关证书复印件，开标日期前三个月内供应商为其缴纳的至少一个月的社保缴纳证明，不提供或提供不全不得分。 3、作业人员：投入作业人员不少于18人（不含项目负责人及技术负责人）。作业人员中具有测绘及相关专业中级及以上职称证书10人及以上得9分，具有测绘及相关专业中级及以上职称证书5-9人得6分，具有测绘及相关专业中级及以上职称证书1-4人得3分。 注：少于18人不得分，提供项目组成员相关证书复印件（不提供或提供不全不得分）。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区间分值：0-6分。 评审标准细化内容： 包括但不限于供应商针对本项目提出①质量目标；②质量保证措施；③项目管理制度等。 评审标准： 1、完整性：项目质量保障措施、项目管理制度必须全面，有详细描述； 2、合理性：项目质量保障措施、项目管理制度须切合本项目实际情况，具有相应措施。 3、针对性：措施能够紧扣项目实际情况，内容科学合理； 评审标准量化内容： （1）评审标准细化内容全面详细、阐述条理清晰详尽、符合本项目采购需求得6分；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区间分值：0-4分。 评审标准细化内容： 包含但不限于①应急预案；②安全保障措施。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区间分值：0-4分。 评审标准细化内容： 包含但不限于①售后服务承诺；②保证措施。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供应商提供2022年1月至今类似项目业绩合同（以合同签订时间为准）；一个业绩得1分，最高得4分； 评审依据：提供合同复印件并加盖公章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