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版本号：ZHPM-ZC-2512520250711001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未央湖街道办事处保安、保洁服务采购项目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ZHPM-ZC-25125</w:t>
      </w:r>
      <w:r>
        <w:br/>
      </w:r>
      <w:r>
        <w:br/>
      </w:r>
      <w:r>
        <w:br/>
      </w:r>
    </w:p>
    <w:p>
      <w:pPr>
        <w:pStyle w:val="null3"/>
        <w:jc w:val="center"/>
        <w:outlineLvl w:val="2"/>
      </w:pPr>
      <w:r>
        <w:rPr>
          <w:rFonts w:ascii="仿宋_GB2312" w:hAnsi="仿宋_GB2312" w:cs="仿宋_GB2312" w:eastAsia="仿宋_GB2312"/>
          <w:sz w:val="28"/>
          <w:b/>
        </w:rPr>
        <w:t>西安市未央区未央湖街道办事处</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西安市未央区未央湖街道办事处</w:t>
      </w:r>
      <w:r>
        <w:rPr>
          <w:rFonts w:ascii="仿宋_GB2312" w:hAnsi="仿宋_GB2312" w:cs="仿宋_GB2312" w:eastAsia="仿宋_GB2312"/>
        </w:rPr>
        <w:t>委托，拟对</w:t>
      </w:r>
      <w:r>
        <w:rPr>
          <w:rFonts w:ascii="仿宋_GB2312" w:hAnsi="仿宋_GB2312" w:cs="仿宋_GB2312" w:eastAsia="仿宋_GB2312"/>
        </w:rPr>
        <w:t>未央湖街道办事处保安、保洁服务采购项目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ZHPM-ZC-25125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未央湖街道办事处保安、保洁服务采购项目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未央湖街道办事处分机关院内办公区域和便民中心办公区域两处办公区域的环境卫生、绿化养护、安全保卫等工作。 机关院内办公区域（建筑面积约2401.3㎡）（院落面积约2600㎡），便民中心办公区域建筑面积约2202.4㎡，无院落。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采购包1（保安、保洁服务采购项目）：属于专门面向中小企业采购。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需提供法定代表人身份证明（含法人身份证复印件），法定代表人委托代理人参加磋商的，需提供法定代表人授权委托书（附法定代表人、被授权人身份证复印件及被授权人在响应文件提交截止时间前六个月内任意一个月在本单位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西安市未央区未央湖街道办事处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未央区环湖南路3号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西安市未央区未央湖街道办事处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029-89606050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张小怡、赵敏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采购包1：578,174.40元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政府采购项目中标（成交）金额作为代理服务费计费基数，参照“发改办价格[2003]857号”及“计价格[2002]1980号”文件规定的计费标准，向采购项目的中标（成交）人收取代理服务费。 （2）开户名称：中昊项目管理有限公司 开户银行：中国民生银行股份有限公司西安枫林绿洲支行 账号:160927203 缴纳方式：银行转账</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西安市未央区未央湖街道办事处</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西安市未央区未央湖街道办事处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西安市未央区未央湖街道办事处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联系人：张小怡</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地址：西安市高新区丈八街办团结南路35号高新新天地2号楼24层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未央湖街道办事处分机关院内办公区域和便民中心办公区域两处办公区域的环境卫生、绿化养护、安全保卫等工作。 机关院内办公区域（建筑面积约2401.3㎡）（院落面积约2600㎡），便民中心办公区域建筑面积约2202.4㎡，无院落。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578,174.40</w:t>
      </w:r>
    </w:p>
    <w:p>
      <w:pPr>
        <w:pStyle w:val="null3"/>
      </w:pPr>
      <w:r>
        <w:rPr>
          <w:rFonts w:ascii="仿宋_GB2312" w:hAnsi="仿宋_GB2312" w:cs="仿宋_GB2312" w:eastAsia="仿宋_GB2312"/>
        </w:rPr>
        <w:t>采购包最高限价（元）: 578,174.40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未央湖街道办事处保安、保洁服务采购项目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578,174.40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标的名称：未央湖街道办事处保安、保洁服务采购项目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一、基本情况</w:t>
            </w:r>
          </w:p>
          <w:p>
            <w:pPr>
              <w:pStyle w:val="null3"/>
              <w:ind w:firstLine="524"/>
              <w:jc w:val="left"/>
            </w:pPr>
            <w:r>
              <w:rPr>
                <w:rFonts w:ascii="仿宋_GB2312" w:hAnsi="仿宋_GB2312" w:cs="仿宋_GB2312" w:eastAsia="仿宋_GB2312"/>
                <w:sz w:val="24"/>
              </w:rPr>
              <w:t>项目名称：未央湖街道办事处保安、保洁服务采购项目</w:t>
            </w:r>
          </w:p>
          <w:p>
            <w:pPr>
              <w:pStyle w:val="null3"/>
              <w:ind w:firstLine="524"/>
              <w:jc w:val="left"/>
            </w:pPr>
            <w:r>
              <w:rPr>
                <w:rFonts w:ascii="仿宋_GB2312" w:hAnsi="仿宋_GB2312" w:cs="仿宋_GB2312" w:eastAsia="仿宋_GB2312"/>
                <w:sz w:val="24"/>
              </w:rPr>
              <w:t>预算金额：</w:t>
            </w:r>
            <w:r>
              <w:rPr>
                <w:rFonts w:ascii="仿宋_GB2312" w:hAnsi="仿宋_GB2312" w:cs="仿宋_GB2312" w:eastAsia="仿宋_GB2312"/>
                <w:sz w:val="24"/>
              </w:rPr>
              <w:t>578174.40元。</w:t>
            </w:r>
          </w:p>
          <w:p>
            <w:pPr>
              <w:pStyle w:val="null3"/>
              <w:jc w:val="both"/>
            </w:pPr>
            <w:r>
              <w:rPr>
                <w:rFonts w:ascii="仿宋_GB2312" w:hAnsi="仿宋_GB2312" w:cs="仿宋_GB2312" w:eastAsia="仿宋_GB2312"/>
                <w:sz w:val="24"/>
                <w:b/>
              </w:rPr>
              <w:t>二、项目概况：</w:t>
            </w:r>
            <w:r>
              <w:rPr>
                <w:rFonts w:ascii="仿宋_GB2312" w:hAnsi="仿宋_GB2312" w:cs="仿宋_GB2312" w:eastAsia="仿宋_GB2312"/>
                <w:sz w:val="24"/>
              </w:rPr>
              <w:t>未央湖街道办事处</w:t>
            </w:r>
            <w:r>
              <w:rPr>
                <w:rFonts w:ascii="仿宋_GB2312" w:hAnsi="仿宋_GB2312" w:cs="仿宋_GB2312" w:eastAsia="仿宋_GB2312"/>
                <w:sz w:val="24"/>
              </w:rPr>
              <w:t>分机关院内办公区域和便民中心办公区域两处办公区域</w:t>
            </w:r>
            <w:r>
              <w:rPr>
                <w:rFonts w:ascii="仿宋_GB2312" w:hAnsi="仿宋_GB2312" w:cs="仿宋_GB2312" w:eastAsia="仿宋_GB2312"/>
                <w:sz w:val="24"/>
              </w:rPr>
              <w:t>的环境卫生、绿化养护、安全保卫等工作。</w:t>
            </w:r>
          </w:p>
          <w:p>
            <w:pPr>
              <w:pStyle w:val="null3"/>
              <w:ind w:firstLine="458"/>
              <w:jc w:val="left"/>
            </w:pPr>
            <w:r>
              <w:rPr>
                <w:rFonts w:ascii="仿宋_GB2312" w:hAnsi="仿宋_GB2312" w:cs="仿宋_GB2312" w:eastAsia="仿宋_GB2312"/>
                <w:sz w:val="24"/>
              </w:rPr>
              <w:t>机关院内办公区域（建筑面积约</w:t>
            </w:r>
            <w:r>
              <w:rPr>
                <w:rFonts w:ascii="仿宋_GB2312" w:hAnsi="仿宋_GB2312" w:cs="仿宋_GB2312" w:eastAsia="仿宋_GB2312"/>
                <w:sz w:val="24"/>
              </w:rPr>
              <w:t>2401.3㎡）（院落面积约2600㎡），</w:t>
            </w:r>
            <w:r>
              <w:rPr>
                <w:rFonts w:ascii="仿宋_GB2312" w:hAnsi="仿宋_GB2312" w:cs="仿宋_GB2312" w:eastAsia="仿宋_GB2312"/>
                <w:sz w:val="24"/>
              </w:rPr>
              <w:t>便民中心</w:t>
            </w:r>
            <w:r>
              <w:rPr>
                <w:rFonts w:ascii="仿宋_GB2312" w:hAnsi="仿宋_GB2312" w:cs="仿宋_GB2312" w:eastAsia="仿宋_GB2312"/>
                <w:sz w:val="24"/>
              </w:rPr>
              <w:t>办公区域建筑面积约</w:t>
            </w:r>
            <w:r>
              <w:rPr>
                <w:rFonts w:ascii="仿宋_GB2312" w:hAnsi="仿宋_GB2312" w:cs="仿宋_GB2312" w:eastAsia="仿宋_GB2312"/>
                <w:sz w:val="24"/>
              </w:rPr>
              <w:t>2202.4㎡，无院落。</w:t>
            </w:r>
          </w:p>
          <w:p>
            <w:pPr>
              <w:pStyle w:val="null3"/>
              <w:jc w:val="both"/>
            </w:pPr>
            <w:r>
              <w:rPr>
                <w:rFonts w:ascii="仿宋_GB2312" w:hAnsi="仿宋_GB2312" w:cs="仿宋_GB2312" w:eastAsia="仿宋_GB2312"/>
                <w:sz w:val="24"/>
                <w:b/>
              </w:rPr>
              <w:t>三、项目需求</w:t>
            </w:r>
          </w:p>
          <w:p>
            <w:pPr>
              <w:pStyle w:val="null3"/>
              <w:jc w:val="both"/>
            </w:pPr>
            <w:r>
              <w:rPr>
                <w:rFonts w:ascii="仿宋_GB2312" w:hAnsi="仿宋_GB2312" w:cs="仿宋_GB2312" w:eastAsia="仿宋_GB2312"/>
                <w:sz w:val="24"/>
              </w:rPr>
              <w:t>1、基本职责：未央湖街道办事处</w:t>
            </w:r>
            <w:r>
              <w:rPr>
                <w:rFonts w:ascii="仿宋_GB2312" w:hAnsi="仿宋_GB2312" w:cs="仿宋_GB2312" w:eastAsia="仿宋_GB2312"/>
                <w:sz w:val="24"/>
              </w:rPr>
              <w:t>分机关院内办公区域和便民中心办公区域两处办公区域</w:t>
            </w:r>
            <w:r>
              <w:rPr>
                <w:rFonts w:ascii="仿宋_GB2312" w:hAnsi="仿宋_GB2312" w:cs="仿宋_GB2312" w:eastAsia="仿宋_GB2312"/>
                <w:sz w:val="24"/>
              </w:rPr>
              <w:t>的环境卫生、绿化养护、安全保卫等工作。需定期巡查环境卫生，保持环境整洁，清理垃圾、积雪、杂物；负责绿化养护，保持绿化带及院落的整洁、美观，定期修剪花草树木；执行门卫制度，对进出人员进行登记，确保机关安全；定期检查、保养各类基础设施设备；遇突发状况，根据街道临时要求，处理街道紧急工作任务。</w:t>
            </w:r>
          </w:p>
          <w:p>
            <w:pPr>
              <w:pStyle w:val="null3"/>
              <w:jc w:val="both"/>
            </w:pPr>
            <w:r>
              <w:rPr>
                <w:rFonts w:ascii="仿宋_GB2312" w:hAnsi="仿宋_GB2312" w:cs="仿宋_GB2312" w:eastAsia="仿宋_GB2312"/>
                <w:sz w:val="24"/>
              </w:rPr>
              <w:t>2、人员要求：项目所有人员均不得超过国家法定工作年龄，聘用人员符合国家法律法规规定。</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人员岗位配置情况表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保安</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bl>
          <w:p>
            <w:pPr>
              <w:pStyle w:val="null3"/>
              <w:ind w:firstLine="524"/>
              <w:jc w:val="both"/>
            </w:pPr>
            <w:r>
              <w:rPr>
                <w:rFonts w:ascii="仿宋_GB2312" w:hAnsi="仿宋_GB2312" w:cs="仿宋_GB2312" w:eastAsia="仿宋_GB2312"/>
                <w:sz w:val="24"/>
              </w:rPr>
              <w:t>3、作态度和职业道德：服务人员应具有良好的职业道德和敬业精神，热爱本职工作，服从组织安排。应具备良好的服务态度，主动服务，热情周到，认真倾听街道意见，及时解决问题。</w:t>
            </w:r>
          </w:p>
          <w:p>
            <w:pPr>
              <w:pStyle w:val="null3"/>
              <w:ind w:firstLine="524"/>
              <w:jc w:val="both"/>
            </w:pPr>
            <w:r>
              <w:rPr>
                <w:rFonts w:ascii="仿宋_GB2312" w:hAnsi="仿宋_GB2312" w:cs="仿宋_GB2312" w:eastAsia="仿宋_GB2312"/>
                <w:sz w:val="24"/>
              </w:rPr>
              <w:t>4、专业知识和技能：各岗位人员应具备本岗位相关的专业知识、技能，能熟练掌握本岗位相关业务。这包括了解本岗位服务的基本概念、操作流程和相关法律法规，能够处理日常管理和维护中的各种问题。</w:t>
            </w:r>
          </w:p>
          <w:p>
            <w:pPr>
              <w:pStyle w:val="null3"/>
              <w:ind w:firstLine="524"/>
              <w:jc w:val="both"/>
            </w:pPr>
            <w:r>
              <w:rPr>
                <w:rFonts w:ascii="仿宋_GB2312" w:hAnsi="仿宋_GB2312" w:cs="仿宋_GB2312" w:eastAsia="仿宋_GB2312"/>
                <w:sz w:val="24"/>
              </w:rPr>
              <w:t>5、工作纪律：所有人员应遵守街道要求的工作纪律，按时到岗，不得迟到、早退、旷工。</w:t>
            </w:r>
          </w:p>
          <w:p>
            <w:pPr>
              <w:pStyle w:val="null3"/>
              <w:ind w:firstLine="524"/>
              <w:jc w:val="both"/>
            </w:pPr>
            <w:r>
              <w:rPr>
                <w:rFonts w:ascii="仿宋_GB2312" w:hAnsi="仿宋_GB2312" w:cs="仿宋_GB2312" w:eastAsia="仿宋_GB2312"/>
                <w:sz w:val="24"/>
              </w:rPr>
              <w:t>6、服务期：自合同签订之日起一年。</w:t>
            </w:r>
          </w:p>
          <w:p>
            <w:pPr>
              <w:pStyle w:val="null3"/>
              <w:ind w:firstLine="524"/>
              <w:jc w:val="left"/>
            </w:pPr>
            <w:r>
              <w:rPr>
                <w:rFonts w:ascii="仿宋_GB2312" w:hAnsi="仿宋_GB2312" w:cs="仿宋_GB2312" w:eastAsia="仿宋_GB2312"/>
                <w:sz w:val="24"/>
              </w:rPr>
              <w:t>7、付款方式：因平台格式原因，具体付款方式为:</w:t>
            </w:r>
            <w:r>
              <w:rPr>
                <w:rFonts w:ascii="仿宋_GB2312" w:hAnsi="仿宋_GB2312" w:cs="仿宋_GB2312" w:eastAsia="仿宋_GB2312"/>
                <w:sz w:val="24"/>
              </w:rPr>
              <w:t>按月结算，每月服务期满后，乙方将上月服务人员及服务清单递交甲方，经甲方审核无误后甲方在收到乙方开具的合规的等额发票采购人一次性支付上月服务费用。服务第一月及最后一月根据服务天数具体另算。最后一月服务完成后，付完剩余款项。</w:t>
            </w:r>
          </w:p>
          <w:p>
            <w:pPr>
              <w:pStyle w:val="null3"/>
              <w:jc w:val="left"/>
            </w:pPr>
            <w:r>
              <w:rPr>
                <w:rFonts w:ascii="仿宋_GB2312" w:hAnsi="仿宋_GB2312" w:cs="仿宋_GB2312" w:eastAsia="仿宋_GB2312"/>
                <w:sz w:val="24"/>
              </w:rPr>
              <w:t>8、考核：街道会不定时抽查各岗位人员的工作成果，连续三次未按街道要求落实的，街道可要</w:t>
            </w:r>
            <w:r>
              <w:rPr>
                <w:rFonts w:ascii="仿宋_GB2312" w:hAnsi="仿宋_GB2312" w:cs="仿宋_GB2312" w:eastAsia="仿宋_GB2312"/>
                <w:sz w:val="24"/>
              </w:rPr>
              <w:t>求换人，成交方若拒不配合或消极懈怠的，街道可无条件解除合同；街道会定期对各岗位人员进行考核，考核内容包括工作态度、业务水平、服务质量等方面；对工作不力、违反规定的人员进行批评教育或要求更换，情节严重的，依法依规进行处理，成交方需积极配合</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合同签订后，按月支付，每月服务期满后，乙方将上月服务人员及服务清单递交给甲方，经甲方审核无误后，甲方在收到乙方开具的合规的等额发票30日内采购人一次性支付上月服务费用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合同签订后，按月支付，每月服务期满后，乙方将上月服务人员及服务清单递交给甲方，经甲方审核无误后，甲方在收到乙方开具的合规的等额发票30日内采购人一次性支付上月服务费用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响应文件提交截止时间前一年内任意一个月的纳税证明或完税证明，纳税证明或完税证明上应有代收机构或税务机关的公章或业务专用章；其他组织和自然人提供响应文件提交截止时间前一年内任意一个月缴纳税收的凭据；依法免税的或者依法不需缴税的供应商应提供相关文件证明；③社会保障资金缴纳证明：提供响应文件提交截止时间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失信主体、政府采购严重违法失信行为记录名单的书面声明； 供应商需在项目电子化交易系统中按要求上传相应证明文件并进行电子签章。 注：以上②-⑤项，提供“《陕西省采购供应商信用承诺书》”的，可不再提供其他证明文件。</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审计报告（成立时间至响应文件提交截止时间不足一年的可提供成立后任意时段的资产负债表），或提交在响应文件提交截止时间前六个月内其开户银行出具的资信证明，或信用担保机构出具的投标担保函（以上三种形式的资料提供任何一种即可）；其他组织和自然人提供银行出具的资信证明或财务报表。（供应商需在项目电子化交易系统中按要求上传相应证明文件并进行电子签章。） 注：财务状况资格审查所需证明材料，提供“《陕西省采购供应商信用承诺书》”的，可不再提供其他证明文件。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需提供法定代表人身份证明（含法人身份证复印件），法定代表人委托代理人参加磋商的，需提供法定代表人授权委托书（附法定代表人、被授权人身份证复印件及被授权人在响应文件提交截止时间前六个月内任意一个月在本单位的社保缴纳证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供应商名称和公章、主体资格一致。</w:t>
            </w:r>
          </w:p>
        </w:tc>
        <w:tc>
          <w:tcPr>
            <w:tcW w:type="dxa" w:w="1661"/>
          </w:tcPr>
          <w:p>
            <w:pPr>
              <w:pStyle w:val="null3"/>
            </w:pPr>
            <w:r>
              <w:rPr>
                <w:rFonts w:ascii="仿宋_GB2312" w:hAnsi="仿宋_GB2312" w:cs="仿宋_GB2312" w:eastAsia="仿宋_GB2312"/>
              </w:rPr>
              <w:t>响应文件封面 商务、服务条款偏离表 标的清单 报价表 响应函 其他证明材料 供应商资格证明文件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商务、服务条款偏离表 标的清单 报价表 响应函 其他证明材料 供应商资格证明文件 磋商方案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响应文件封面 商务、服务条款偏离表 中小企业声明函 标的清单 报价表 响应函 其他证明材料 供应商资格证明文件 磋商方案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环境卫生服务方案</w:t>
            </w:r>
          </w:p>
        </w:tc>
        <w:tc>
          <w:tcPr>
            <w:tcW w:type="dxa" w:w="2492"/>
          </w:tcPr>
          <w:p>
            <w:pPr>
              <w:pStyle w:val="null3"/>
            </w:pPr>
            <w:r>
              <w:rPr>
                <w:rFonts w:ascii="仿宋_GB2312" w:hAnsi="仿宋_GB2312" w:cs="仿宋_GB2312" w:eastAsia="仿宋_GB2312"/>
              </w:rPr>
              <w:t>1、评审内容 针对本项目办公区域内的环境卫生保洁服务方案，包括但不限于定期巡查环境卫生，保持环境整洁，清理垃圾、积雪、杂物等 2、赋分标准 （1）方案内容全面、科学合理、够紧扣项目实际情况可行性强的得10分； （2）方案内容完整、流程清晰满足本项目实际情况可行性较强的得8分； （3）方案内容较完整、流程较清晰满足本项目实际情况可行性一般的得6分； （4）方案内容基本完整、基本满足本项目实际情况可行性一般的得4分； （5）方案内容欠缺、可行性差的得2分；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绿化养护管理方案</w:t>
            </w:r>
          </w:p>
        </w:tc>
        <w:tc>
          <w:tcPr>
            <w:tcW w:type="dxa" w:w="2492"/>
          </w:tcPr>
          <w:p>
            <w:pPr>
              <w:pStyle w:val="null3"/>
            </w:pPr>
            <w:r>
              <w:rPr>
                <w:rFonts w:ascii="仿宋_GB2312" w:hAnsi="仿宋_GB2312" w:cs="仿宋_GB2312" w:eastAsia="仿宋_GB2312"/>
              </w:rPr>
              <w:t>1、评审内容 针对本项目提出绿化养护管理方案，包括但不限于保持绿化带及院落的整洁、美观，定期修剪花草树木等 2、赋分标准 （1）方案考虑周全、细节到位、养护流程清晰，管理高效、科学合理的得5分； （2）方案内容完整、细节到位、养护流程较为清晰，管理较为高效的得4分； （3）方案内容较完整、养护流程及管理模式较为清晰的3分； （4）方案内容及养护流程模糊、可行性一般的得2分； （5）方案内容欠缺、舍本逐末可行性差的得1分； 未提供或其他得0分。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1、评审内容 针对本项目提出安保服务方案，包括但不限于执行门卫制度，对进出人员进行登记等 2、赋分标准 （1）方案完整细致、人员职责清晰细致、方案切实可行的得10分； （2）方案细节到位，人员职责较为清晰，方案可行性较强的得8分； （3）方案内容较为完整，人员职责较为清晰，方案可行性一般的得6分； （4）方案内容简单、人员安排职责不清晰，方案可行性一般的得4分； （5）方案内容欠缺、人员安排混乱，方案可行性差的得2分；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针对本项目特点提供应急预案，包括但不限于遇突发状况，根据街道临时要求，处理街道紧急工作任务等 2、赋分标准 （1）方案内容详细全面，具有高效性、可实施行性、有针对性强的得10分； （2）方案内容完善，具有高效性、可实施行性、有针对性较强的得8分； （3）方案内容较完整，高效性、可实施行性、针对性一般的得6分； （4）方案内容不全面，高效性、可实施行性一般，针对性较差的得4分； （5）方案内容欠缺，高效性、可行性、针对性差的得2分；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服务人员配备方案</w:t>
            </w:r>
          </w:p>
        </w:tc>
        <w:tc>
          <w:tcPr>
            <w:tcW w:type="dxa" w:w="2492"/>
          </w:tcPr>
          <w:p>
            <w:pPr>
              <w:pStyle w:val="null3"/>
            </w:pPr>
            <w:r>
              <w:rPr>
                <w:rFonts w:ascii="仿宋_GB2312" w:hAnsi="仿宋_GB2312" w:cs="仿宋_GB2312" w:eastAsia="仿宋_GB2312"/>
              </w:rPr>
              <w:t>1、评审内容 提供人员配备情况，人员配备满足需求、组织架构、服务水平、人员素质标准等。 2、赋分标准 （1）项目人员配备合理完善，服务水平高，针对性强的得10分； （2）项目人员配备完善，服务水平较高，针对性较强的得8分； （3）项目人员配备较完善，服务水平一般，针对性一般的得6分； （4）项目人员配备较完善，服务水平较差，针对性较差的得4分； （5）项目人员配备基本完整，服务水平差，针对性差的得2分；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1、评审内容 根据本项目制定详细、可行的培训及考核方案，内容包括：岗前培训、定期考核（考核内容包括工作态度、业务水平、服务质量等）等 2、赋分标准 （1）培训计划科学合理、考核方案全面严谨、考核制度完善的得10分； （2）培训计划合理、考核方案全面、考核制度完整的得8分； （3）培训计划较合理、考核方案及考核制度较完整的得6分； （4）培训计划基本合理、考核方案及考核制度模糊的得4分； （5）培训计划内容欠缺、考核方案及考核制度难以执行的得2分；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1、评审内容 根据本项目内容提供保障方案，明确奖惩制度，保证上服务质量、岗人员的专业素质符合采购人要求。 2、赋分标准 （1）内容非常贴合实际、内容充分准确，完全满足项目需求的得5分； （2）内容贴合需求、充分且准确的得4分； （3）内容较贴合需求、充分准确的得3分； （4）内容符合需求、欠充分的得2分； （5）内容欠缺、欠准确的得1分； 未提供或其他得0分。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月1日至今）类似业绩，每提供一项计5分，计满10分为止。（业绩证明材料以磋商响应文件中提供的合同复印件为准，合同复印件须包含合同名称、签订双方名称、签订时间、主要服务内容、双方盖章页等关键信息页。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w:t>
            </w:r>
          </w:p>
          <w:p>
            <w:pPr>
              <w:pStyle w:val="null3"/>
            </w:pPr>
            <w:r>
              <w:rPr>
                <w:rFonts w:ascii="仿宋_GB2312" w:hAnsi="仿宋_GB2312" w:cs="仿宋_GB2312" w:eastAsia="仿宋_GB2312"/>
              </w:rPr>
              <w:t>磋商方案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详见附件：商务、服务条款偏离表</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详见附件：服务合同-未央湖街道办事处保安、保洁服务采购项目.docx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