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FF7B3">
      <w:pPr>
        <w:pStyle w:val="9"/>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附件合同</w:t>
      </w:r>
    </w:p>
    <w:p w14:paraId="75B98FBF">
      <w:pPr>
        <w:shd w:val="clear"/>
        <w:autoSpaceDE w:val="0"/>
        <w:autoSpaceDN w:val="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（本合同格式供参考，具体以</w:t>
      </w:r>
      <w:r>
        <w:rPr>
          <w:rFonts w:hint="eastAsia" w:ascii="宋体" w:hAnsi="宋体" w:eastAsia="宋体" w:cs="宋体"/>
          <w:bCs/>
          <w:color w:val="auto"/>
          <w:sz w:val="24"/>
          <w:highlight w:val="none"/>
          <w:lang w:eastAsia="zh-CN"/>
        </w:rPr>
        <w:t>甲乙</w:t>
      </w:r>
      <w:r>
        <w:rPr>
          <w:rFonts w:hint="eastAsia" w:ascii="宋体" w:hAnsi="宋体" w:eastAsia="宋体" w:cs="宋体"/>
          <w:bCs/>
          <w:color w:val="auto"/>
          <w:sz w:val="24"/>
          <w:highlight w:val="none"/>
        </w:rPr>
        <w:t>双方签订为准</w:t>
      </w:r>
      <w:r>
        <w:rPr>
          <w:rFonts w:hint="eastAsia" w:ascii="宋体" w:hAnsi="宋体" w:eastAsia="宋体" w:cs="宋体"/>
          <w:bCs/>
          <w:color w:val="auto"/>
          <w:spacing w:val="-4"/>
          <w:sz w:val="24"/>
          <w:highlight w:val="none"/>
        </w:rPr>
        <w:t>）</w:t>
      </w:r>
    </w:p>
    <w:p w14:paraId="52A73B84">
      <w:pPr>
        <w:spacing w:line="360" w:lineRule="auto"/>
        <w:ind w:right="210" w:rightChars="100"/>
        <w:rPr>
          <w:rFonts w:hint="eastAsia" w:ascii="宋体" w:hAnsi="宋体" w:eastAsia="宋体" w:cs="宋体"/>
          <w:b/>
          <w:color w:val="auto"/>
          <w:szCs w:val="24"/>
          <w:highlight w:val="none"/>
        </w:rPr>
      </w:pPr>
    </w:p>
    <w:p w14:paraId="174F73F0">
      <w:pPr>
        <w:spacing w:line="360" w:lineRule="auto"/>
        <w:ind w:right="210" w:rightChars="100"/>
        <w:rPr>
          <w:rFonts w:hint="eastAsia" w:ascii="宋体" w:hAnsi="宋体" w:eastAsia="宋体" w:cs="宋体"/>
          <w:b/>
          <w:color w:val="auto"/>
          <w:sz w:val="22"/>
          <w:szCs w:val="28"/>
          <w:highlight w:val="none"/>
        </w:rPr>
      </w:pPr>
      <w:r>
        <w:rPr>
          <w:rFonts w:hint="eastAsia" w:ascii="宋体" w:hAnsi="宋体" w:eastAsia="宋体" w:cs="宋体"/>
          <w:b/>
          <w:color w:val="auto"/>
          <w:sz w:val="22"/>
          <w:szCs w:val="28"/>
          <w:highlight w:val="none"/>
        </w:rPr>
        <w:t>合同编号：</w:t>
      </w:r>
    </w:p>
    <w:p w14:paraId="65876717">
      <w:pPr>
        <w:spacing w:line="360" w:lineRule="auto"/>
        <w:ind w:right="210" w:rightChars="100"/>
        <w:rPr>
          <w:rFonts w:hint="eastAsia" w:ascii="宋体" w:hAnsi="宋体" w:eastAsia="宋体" w:cs="宋体"/>
          <w:b/>
          <w:color w:val="auto"/>
          <w:sz w:val="28"/>
          <w:szCs w:val="28"/>
          <w:highlight w:val="none"/>
        </w:rPr>
      </w:pPr>
    </w:p>
    <w:p w14:paraId="249FE3A2">
      <w:pPr>
        <w:spacing w:line="360" w:lineRule="auto"/>
        <w:ind w:right="210" w:rightChars="100"/>
        <w:rPr>
          <w:rFonts w:hint="eastAsia" w:ascii="宋体" w:hAnsi="宋体" w:eastAsia="宋体" w:cs="宋体"/>
          <w:b/>
          <w:color w:val="auto"/>
          <w:sz w:val="28"/>
          <w:szCs w:val="28"/>
          <w:highlight w:val="none"/>
        </w:rPr>
      </w:pPr>
      <w:bookmarkStart w:id="3" w:name="_GoBack"/>
      <w:bookmarkEnd w:id="3"/>
    </w:p>
    <w:p w14:paraId="0F4970A2">
      <w:pPr>
        <w:pStyle w:val="2"/>
        <w:rPr>
          <w:rFonts w:hint="eastAsia" w:ascii="宋体" w:hAnsi="宋体" w:eastAsia="宋体" w:cs="宋体"/>
          <w:b/>
          <w:color w:val="auto"/>
          <w:sz w:val="28"/>
          <w:szCs w:val="28"/>
          <w:highlight w:val="none"/>
          <w:lang w:eastAsia="zh-CN"/>
        </w:rPr>
      </w:pPr>
    </w:p>
    <w:p w14:paraId="52A5A55A">
      <w:pPr>
        <w:rPr>
          <w:rFonts w:hint="eastAsia" w:ascii="宋体" w:hAnsi="宋体" w:eastAsia="宋体" w:cs="宋体"/>
          <w:b/>
          <w:color w:val="auto"/>
          <w:sz w:val="28"/>
          <w:szCs w:val="28"/>
          <w:highlight w:val="none"/>
          <w:lang w:eastAsia="zh-CN"/>
        </w:rPr>
      </w:pPr>
    </w:p>
    <w:p w14:paraId="27AD70F1">
      <w:pPr>
        <w:pStyle w:val="2"/>
        <w:rPr>
          <w:rFonts w:hint="eastAsia" w:ascii="宋体" w:hAnsi="宋体" w:eastAsia="宋体" w:cs="宋体"/>
          <w:b/>
          <w:color w:val="auto"/>
          <w:sz w:val="28"/>
          <w:szCs w:val="28"/>
          <w:highlight w:val="none"/>
          <w:lang w:eastAsia="zh-CN"/>
        </w:rPr>
      </w:pPr>
    </w:p>
    <w:p w14:paraId="5AA1520E">
      <w:pPr>
        <w:rPr>
          <w:rFonts w:hint="eastAsia"/>
          <w:color w:val="auto"/>
          <w:highlight w:val="none"/>
          <w:lang w:eastAsia="zh-CN"/>
        </w:rPr>
      </w:pPr>
    </w:p>
    <w:p w14:paraId="0BC0CFC7">
      <w:pPr>
        <w:pStyle w:val="5"/>
        <w:rPr>
          <w:rFonts w:hint="eastAsia" w:ascii="宋体" w:hAnsi="宋体" w:eastAsia="宋体" w:cs="宋体"/>
          <w:color w:val="auto"/>
          <w:highlight w:val="none"/>
          <w:lang w:eastAsia="zh-CN"/>
        </w:rPr>
      </w:pPr>
    </w:p>
    <w:p w14:paraId="460110C0">
      <w:pPr>
        <w:rPr>
          <w:rFonts w:hint="eastAsia" w:ascii="宋体" w:hAnsi="宋体" w:eastAsia="宋体" w:cs="宋体"/>
          <w:color w:val="auto"/>
          <w:highlight w:val="none"/>
        </w:rPr>
      </w:pPr>
    </w:p>
    <w:p w14:paraId="25D28962">
      <w:pPr>
        <w:spacing w:line="360" w:lineRule="auto"/>
        <w:ind w:right="210" w:rightChars="100"/>
        <w:jc w:val="center"/>
        <w:rPr>
          <w:rFonts w:hint="eastAsia" w:ascii="宋体" w:hAnsi="宋体" w:eastAsia="宋体" w:cs="宋体"/>
          <w:b/>
          <w:color w:val="auto"/>
          <w:sz w:val="40"/>
          <w:szCs w:val="40"/>
          <w:highlight w:val="none"/>
          <w:lang w:val="en-US" w:eastAsia="zh-CN"/>
        </w:rPr>
      </w:pPr>
      <w:r>
        <w:rPr>
          <w:rFonts w:hint="eastAsia" w:ascii="宋体" w:hAnsi="宋体" w:eastAsia="宋体" w:cs="宋体"/>
          <w:b/>
          <w:color w:val="auto"/>
          <w:sz w:val="40"/>
          <w:szCs w:val="40"/>
          <w:highlight w:val="none"/>
          <w:lang w:val="en-US" w:eastAsia="zh-CN"/>
        </w:rPr>
        <w:t>未央湖街道办事处保安、保洁服务采购项目</w:t>
      </w:r>
    </w:p>
    <w:p w14:paraId="4636A054">
      <w:pPr>
        <w:spacing w:line="360" w:lineRule="auto"/>
        <w:ind w:right="210" w:rightChars="100"/>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rPr>
        <w:t>服务合同</w:t>
      </w:r>
    </w:p>
    <w:p w14:paraId="0BC0E4E7">
      <w:pPr>
        <w:spacing w:line="360" w:lineRule="auto"/>
        <w:ind w:right="210" w:rightChars="100"/>
        <w:rPr>
          <w:rFonts w:hint="eastAsia" w:ascii="宋体" w:hAnsi="宋体" w:eastAsia="宋体" w:cs="宋体"/>
          <w:b/>
          <w:color w:val="auto"/>
          <w:szCs w:val="24"/>
          <w:highlight w:val="none"/>
        </w:rPr>
      </w:pPr>
    </w:p>
    <w:p w14:paraId="6E3D343B">
      <w:pPr>
        <w:spacing w:line="360" w:lineRule="auto"/>
        <w:ind w:right="210" w:rightChars="100"/>
        <w:rPr>
          <w:rFonts w:hint="eastAsia" w:ascii="宋体" w:hAnsi="宋体" w:eastAsia="宋体" w:cs="宋体"/>
          <w:b/>
          <w:color w:val="auto"/>
          <w:szCs w:val="24"/>
          <w:highlight w:val="none"/>
        </w:rPr>
      </w:pPr>
    </w:p>
    <w:p w14:paraId="7830C6FA">
      <w:pPr>
        <w:spacing w:line="360" w:lineRule="auto"/>
        <w:ind w:right="210" w:rightChars="100"/>
        <w:rPr>
          <w:rFonts w:hint="eastAsia" w:ascii="宋体" w:hAnsi="宋体" w:eastAsia="宋体" w:cs="宋体"/>
          <w:b/>
          <w:color w:val="auto"/>
          <w:szCs w:val="24"/>
          <w:highlight w:val="none"/>
        </w:rPr>
      </w:pPr>
    </w:p>
    <w:p w14:paraId="2EB51067">
      <w:pPr>
        <w:spacing w:line="360" w:lineRule="auto"/>
        <w:ind w:right="210" w:rightChars="100"/>
        <w:rPr>
          <w:rFonts w:hint="eastAsia" w:ascii="宋体" w:hAnsi="宋体" w:eastAsia="宋体" w:cs="宋体"/>
          <w:b/>
          <w:color w:val="auto"/>
          <w:szCs w:val="24"/>
          <w:highlight w:val="none"/>
        </w:rPr>
      </w:pPr>
    </w:p>
    <w:p w14:paraId="618C0712">
      <w:pPr>
        <w:spacing w:line="360" w:lineRule="auto"/>
        <w:ind w:right="210" w:rightChars="100"/>
        <w:rPr>
          <w:rFonts w:hint="eastAsia" w:ascii="宋体" w:hAnsi="宋体" w:eastAsia="宋体" w:cs="宋体"/>
          <w:b/>
          <w:color w:val="auto"/>
          <w:szCs w:val="24"/>
          <w:highlight w:val="none"/>
        </w:rPr>
      </w:pPr>
    </w:p>
    <w:p w14:paraId="7B8CD7F1">
      <w:pPr>
        <w:spacing w:line="360" w:lineRule="auto"/>
        <w:ind w:right="210" w:rightChars="100"/>
        <w:rPr>
          <w:rFonts w:hint="eastAsia" w:ascii="宋体" w:hAnsi="宋体" w:eastAsia="宋体" w:cs="宋体"/>
          <w:b/>
          <w:color w:val="auto"/>
          <w:szCs w:val="24"/>
          <w:highlight w:val="none"/>
        </w:rPr>
      </w:pPr>
    </w:p>
    <w:p w14:paraId="5C7F6CC2">
      <w:pPr>
        <w:pStyle w:val="5"/>
        <w:rPr>
          <w:rFonts w:hint="eastAsia" w:ascii="宋体" w:hAnsi="宋体" w:eastAsia="宋体" w:cs="宋体"/>
          <w:color w:val="auto"/>
          <w:highlight w:val="none"/>
        </w:rPr>
      </w:pPr>
    </w:p>
    <w:p w14:paraId="1D42C220">
      <w:pPr>
        <w:spacing w:line="360" w:lineRule="auto"/>
        <w:ind w:right="210" w:rightChars="100"/>
        <w:rPr>
          <w:rFonts w:hint="eastAsia" w:ascii="宋体" w:hAnsi="宋体" w:eastAsia="宋体" w:cs="宋体"/>
          <w:b/>
          <w:color w:val="auto"/>
          <w:szCs w:val="24"/>
          <w:highlight w:val="none"/>
        </w:rPr>
      </w:pPr>
    </w:p>
    <w:p w14:paraId="79A106BA">
      <w:pPr>
        <w:spacing w:line="360" w:lineRule="auto"/>
        <w:ind w:right="210" w:rightChars="100"/>
        <w:rPr>
          <w:rFonts w:hint="eastAsia" w:ascii="宋体" w:hAnsi="宋体" w:eastAsia="宋体" w:cs="宋体"/>
          <w:b/>
          <w:color w:val="auto"/>
          <w:szCs w:val="24"/>
          <w:highlight w:val="none"/>
        </w:rPr>
      </w:pPr>
    </w:p>
    <w:p w14:paraId="2E06E92E">
      <w:pPr>
        <w:pStyle w:val="2"/>
        <w:rPr>
          <w:rFonts w:hint="eastAsia" w:ascii="宋体" w:hAnsi="宋体" w:eastAsia="宋体" w:cs="宋体"/>
          <w:b/>
          <w:color w:val="auto"/>
          <w:szCs w:val="24"/>
          <w:highlight w:val="none"/>
        </w:rPr>
      </w:pPr>
    </w:p>
    <w:p w14:paraId="053AA84B">
      <w:pPr>
        <w:rPr>
          <w:rFonts w:hint="eastAsia" w:ascii="宋体" w:hAnsi="宋体" w:eastAsia="宋体" w:cs="宋体"/>
          <w:b/>
          <w:color w:val="auto"/>
          <w:szCs w:val="24"/>
          <w:highlight w:val="none"/>
        </w:rPr>
      </w:pPr>
    </w:p>
    <w:p w14:paraId="57DC7047">
      <w:pPr>
        <w:spacing w:line="360" w:lineRule="auto"/>
        <w:ind w:right="210" w:rightChars="100"/>
        <w:rPr>
          <w:rFonts w:hint="eastAsia" w:ascii="宋体" w:hAnsi="宋体" w:eastAsia="宋体" w:cs="宋体"/>
          <w:b/>
          <w:color w:val="auto"/>
          <w:szCs w:val="24"/>
          <w:highlight w:val="none"/>
        </w:rPr>
      </w:pPr>
    </w:p>
    <w:p w14:paraId="26E62D85">
      <w:pPr>
        <w:spacing w:line="360" w:lineRule="auto"/>
        <w:ind w:right="210" w:rightChars="100"/>
        <w:rPr>
          <w:rFonts w:hint="eastAsia" w:ascii="宋体" w:hAnsi="宋体" w:eastAsia="宋体" w:cs="宋体"/>
          <w:b/>
          <w:color w:val="auto"/>
          <w:szCs w:val="24"/>
          <w:highlight w:val="none"/>
        </w:rPr>
      </w:pPr>
    </w:p>
    <w:p w14:paraId="777CA899">
      <w:pPr>
        <w:spacing w:line="360" w:lineRule="auto"/>
        <w:ind w:right="210" w:rightChars="100"/>
        <w:rPr>
          <w:rFonts w:hint="eastAsia" w:ascii="宋体" w:hAnsi="宋体" w:eastAsia="宋体" w:cs="宋体"/>
          <w:b/>
          <w:color w:val="auto"/>
          <w:sz w:val="28"/>
          <w:szCs w:val="28"/>
          <w:highlight w:val="none"/>
          <w:u w:val="single"/>
          <w:lang w:eastAsia="zh-CN"/>
        </w:rPr>
      </w:pPr>
      <w:r>
        <w:rPr>
          <w:rFonts w:hint="eastAsia" w:ascii="宋体" w:hAnsi="宋体" w:eastAsia="宋体" w:cs="宋体"/>
          <w:b/>
          <w:color w:val="auto"/>
          <w:sz w:val="28"/>
          <w:szCs w:val="28"/>
          <w:highlight w:val="none"/>
        </w:rPr>
        <w:t>甲方（采购人）：</w:t>
      </w:r>
      <w:r>
        <w:rPr>
          <w:rFonts w:hint="eastAsia" w:ascii="宋体" w:hAnsi="宋体" w:eastAsia="宋体" w:cs="宋体"/>
          <w:b/>
          <w:color w:val="auto"/>
          <w:sz w:val="28"/>
          <w:szCs w:val="28"/>
          <w:highlight w:val="none"/>
          <w:u w:val="single"/>
          <w:lang w:val="en-US" w:eastAsia="zh-CN"/>
        </w:rPr>
        <w:t>西安市未央区未央湖街道办事处</w:t>
      </w:r>
    </w:p>
    <w:p w14:paraId="0D5B720A">
      <w:pPr>
        <w:spacing w:line="360" w:lineRule="auto"/>
        <w:ind w:right="210" w:rightChars="100"/>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乙方（供应商）：</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eastAsia="宋体" w:cs="宋体"/>
          <w:b/>
          <w:color w:val="auto"/>
          <w:sz w:val="28"/>
          <w:szCs w:val="28"/>
          <w:highlight w:val="none"/>
          <w:u w:val="single"/>
        </w:rPr>
        <w:t xml:space="preserve">     </w:t>
      </w:r>
    </w:p>
    <w:p w14:paraId="476FEA95">
      <w:pPr>
        <w:spacing w:line="360" w:lineRule="auto"/>
        <w:ind w:right="210" w:rightChars="1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 xml:space="preserve">                 年    月    日</w:t>
      </w:r>
    </w:p>
    <w:p w14:paraId="603CC9CE">
      <w:pPr>
        <w:spacing w:line="360" w:lineRule="auto"/>
        <w:ind w:right="210" w:rightChars="100"/>
        <w:rPr>
          <w:rFonts w:hint="eastAsia" w:ascii="宋体" w:hAnsi="宋体" w:eastAsia="宋体" w:cs="宋体"/>
          <w:b/>
          <w:color w:val="auto"/>
          <w:szCs w:val="24"/>
          <w:highlight w:val="none"/>
          <w:u w:val="single"/>
        </w:rPr>
      </w:pPr>
    </w:p>
    <w:p w14:paraId="4AB35D5D">
      <w:pPr>
        <w:keepNext w:val="0"/>
        <w:keepLines w:val="0"/>
        <w:pageBreakBefore w:val="0"/>
        <w:kinsoku/>
        <w:wordWrap/>
        <w:overflowPunct/>
        <w:topLinePunct w:val="0"/>
        <w:autoSpaceDE/>
        <w:autoSpaceDN/>
        <w:bidi w:val="0"/>
        <w:adjustRightInd/>
        <w:snapToGrid/>
        <w:spacing w:line="480" w:lineRule="auto"/>
        <w:ind w:left="0" w:leftChars="0" w:right="0"/>
        <w:textAlignment w:val="auto"/>
        <w:rPr>
          <w:rFonts w:hint="eastAsia" w:asciiTheme="minorEastAsia" w:hAnsiTheme="minorEastAsia" w:eastAsiaTheme="minorEastAsia" w:cstheme="minorEastAsia"/>
          <w:color w:val="auto"/>
          <w:sz w:val="24"/>
          <w:szCs w:val="24"/>
          <w:highlight w:val="none"/>
          <w:u w:val="single"/>
        </w:rPr>
      </w:pPr>
      <w:r>
        <w:rPr>
          <w:rFonts w:hint="eastAsia" w:ascii="仿宋" w:hAnsi="仿宋" w:eastAsia="仿宋" w:cs="仿宋"/>
          <w:b/>
          <w:color w:val="auto"/>
          <w:szCs w:val="24"/>
          <w:highlight w:val="none"/>
        </w:rPr>
        <w:br w:type="page"/>
      </w:r>
      <w:r>
        <w:rPr>
          <w:rFonts w:hint="eastAsia" w:asciiTheme="minorEastAsia" w:hAnsiTheme="minorEastAsia" w:eastAsiaTheme="minorEastAsia" w:cstheme="minorEastAsia"/>
          <w:color w:val="auto"/>
          <w:sz w:val="24"/>
          <w:szCs w:val="24"/>
          <w:highlight w:val="none"/>
        </w:rPr>
        <w:t>甲方（</w:t>
      </w:r>
      <w:r>
        <w:rPr>
          <w:rFonts w:hint="eastAsia" w:asciiTheme="minorEastAsia" w:hAnsiTheme="minorEastAsia" w:eastAsiaTheme="minorEastAsia" w:cstheme="minorEastAsia"/>
          <w:color w:val="auto"/>
          <w:sz w:val="24"/>
          <w:szCs w:val="24"/>
          <w:highlight w:val="none"/>
          <w:lang w:eastAsia="zh-CN"/>
        </w:rPr>
        <w:t>采购人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lang w:val="en-US" w:eastAsia="zh-CN"/>
        </w:rPr>
        <w:t>西安市未央区未央湖街道办事处</w:t>
      </w:r>
    </w:p>
    <w:p w14:paraId="12D991FA">
      <w:pPr>
        <w:keepNext w:val="0"/>
        <w:keepLines w:val="0"/>
        <w:pageBreakBefore w:val="0"/>
        <w:kinsoku/>
        <w:wordWrap/>
        <w:overflowPunct/>
        <w:topLinePunct w:val="0"/>
        <w:autoSpaceDE/>
        <w:autoSpaceDN/>
        <w:bidi w:val="0"/>
        <w:adjustRightInd/>
        <w:snapToGrid/>
        <w:spacing w:line="480" w:lineRule="auto"/>
        <w:ind w:left="0" w:leftChars="0" w:right="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5B66CDA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根据《中华人民共和国</w:t>
      </w:r>
      <w:r>
        <w:rPr>
          <w:rFonts w:hint="eastAsia" w:asciiTheme="minorEastAsia" w:hAnsiTheme="minorEastAsia" w:eastAsiaTheme="minorEastAsia" w:cstheme="minorEastAsia"/>
          <w:color w:val="auto"/>
          <w:sz w:val="24"/>
          <w:szCs w:val="24"/>
          <w:highlight w:val="none"/>
          <w:lang w:eastAsia="zh-CN"/>
        </w:rPr>
        <w:t>民法典</w:t>
      </w:r>
      <w:r>
        <w:rPr>
          <w:rFonts w:hint="eastAsia" w:asciiTheme="minorEastAsia" w:hAnsiTheme="minorEastAsia" w:eastAsiaTheme="minorEastAsia" w:cstheme="minorEastAsia"/>
          <w:color w:val="auto"/>
          <w:sz w:val="24"/>
          <w:szCs w:val="24"/>
          <w:highlight w:val="none"/>
        </w:rPr>
        <w:t>》、《中华人民共和国政府采购法》与项目行业有关的法律法规，以及</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t>项目</w:t>
      </w:r>
      <w:r>
        <w:rPr>
          <w:rFonts w:hint="eastAsia" w:asciiTheme="minorEastAsia" w:hAnsiTheme="minorEastAsia" w:eastAsiaTheme="minorEastAsia" w:cstheme="minorEastAsia"/>
          <w:color w:val="auto"/>
          <w:sz w:val="24"/>
          <w:szCs w:val="24"/>
          <w:highlight w:val="none"/>
          <w:u w:val="single"/>
          <w:lang w:val="en-US" w:eastAsia="zh-CN"/>
        </w:rPr>
        <w:t>名称</w:t>
      </w:r>
      <w:r>
        <w:rPr>
          <w:rFonts w:hint="eastAsia" w:asciiTheme="minorEastAsia" w:hAnsiTheme="minorEastAsia" w:eastAsiaTheme="minorEastAsia" w:cstheme="minorEastAsia"/>
          <w:color w:val="auto"/>
          <w:sz w:val="24"/>
          <w:szCs w:val="24"/>
          <w:highlight w:val="none"/>
        </w:rPr>
        <w:t>相关采购要求的规定，合同双方就乙方向采购方提供</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事宜，经协商达成一致，确立本合同。</w:t>
      </w:r>
    </w:p>
    <w:p w14:paraId="69160ECB">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一、项目概况</w:t>
      </w:r>
    </w:p>
    <w:p w14:paraId="19FEBB09">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项目名称：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3C18E4AA">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项目地点：</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180A3FCB">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服务期限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w:t>
      </w:r>
    </w:p>
    <w:p w14:paraId="06EBA452">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 服务要求：</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49EC215C">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二、组成本合同的文件</w:t>
      </w:r>
    </w:p>
    <w:p w14:paraId="2C83436B">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 </w:t>
      </w:r>
      <w:r>
        <w:rPr>
          <w:rFonts w:hint="eastAsia" w:asciiTheme="minorEastAsia" w:hAnsiTheme="minorEastAsia" w:eastAsiaTheme="minorEastAsia" w:cstheme="minorEastAsia"/>
          <w:color w:val="auto"/>
          <w:sz w:val="24"/>
          <w:szCs w:val="24"/>
          <w:highlight w:val="none"/>
          <w:lang w:eastAsia="zh-CN"/>
        </w:rPr>
        <w:t>合同</w:t>
      </w:r>
      <w:r>
        <w:rPr>
          <w:rFonts w:hint="eastAsia" w:asciiTheme="minorEastAsia" w:hAnsiTheme="minorEastAsia" w:eastAsiaTheme="minorEastAsia" w:cstheme="minorEastAsia"/>
          <w:color w:val="auto"/>
          <w:sz w:val="24"/>
          <w:szCs w:val="24"/>
          <w:highlight w:val="none"/>
        </w:rPr>
        <w:t>书；</w:t>
      </w:r>
    </w:p>
    <w:p w14:paraId="769CB21C">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2. </w:t>
      </w:r>
      <w:r>
        <w:rPr>
          <w:rFonts w:hint="eastAsia" w:asciiTheme="minorEastAsia" w:hAnsiTheme="minorEastAsia" w:eastAsiaTheme="minorEastAsia" w:cstheme="minorEastAsia"/>
          <w:color w:val="auto"/>
          <w:sz w:val="24"/>
          <w:szCs w:val="24"/>
          <w:highlight w:val="none"/>
          <w:lang w:eastAsia="zh-CN"/>
        </w:rPr>
        <w:t>成交</w:t>
      </w:r>
      <w:r>
        <w:rPr>
          <w:rFonts w:hint="eastAsia" w:asciiTheme="minorEastAsia" w:hAnsiTheme="minorEastAsia" w:eastAsiaTheme="minorEastAsia" w:cstheme="minorEastAsia"/>
          <w:color w:val="auto"/>
          <w:sz w:val="24"/>
          <w:szCs w:val="24"/>
          <w:highlight w:val="none"/>
        </w:rPr>
        <w:t>通知书、</w:t>
      </w:r>
      <w:r>
        <w:rPr>
          <w:rFonts w:hint="eastAsia" w:asciiTheme="minorEastAsia" w:hAnsiTheme="minorEastAsia" w:eastAsiaTheme="minorEastAsia" w:cstheme="minorEastAsia"/>
          <w:color w:val="auto"/>
          <w:sz w:val="24"/>
          <w:szCs w:val="24"/>
          <w:highlight w:val="none"/>
          <w:lang w:val="en-US" w:eastAsia="zh-CN"/>
        </w:rPr>
        <w:t>竞争性磋商</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文件、</w:t>
      </w:r>
      <w:r>
        <w:rPr>
          <w:rFonts w:hint="eastAsia" w:asciiTheme="minorEastAsia" w:hAnsiTheme="minorEastAsia" w:eastAsiaTheme="minorEastAsia" w:cstheme="minorEastAsia"/>
          <w:color w:val="auto"/>
          <w:sz w:val="24"/>
          <w:szCs w:val="24"/>
          <w:highlight w:val="none"/>
          <w:lang w:val="en-US" w:eastAsia="zh-CN"/>
        </w:rPr>
        <w:t>竞争性磋商文件</w:t>
      </w:r>
      <w:r>
        <w:rPr>
          <w:rFonts w:hint="eastAsia" w:asciiTheme="minorEastAsia" w:hAnsiTheme="minorEastAsia" w:eastAsiaTheme="minorEastAsia" w:cstheme="minorEastAsia"/>
          <w:color w:val="auto"/>
          <w:sz w:val="24"/>
          <w:szCs w:val="24"/>
          <w:highlight w:val="none"/>
        </w:rPr>
        <w:t>、澄清、补充文件；</w:t>
      </w:r>
    </w:p>
    <w:p w14:paraId="518BB36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相关服务建议书；</w:t>
      </w:r>
    </w:p>
    <w:p w14:paraId="7A0CCD8D">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附录，即：附表内相关服务的范围和内容；</w:t>
      </w:r>
    </w:p>
    <w:p w14:paraId="1CC443BB">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本合同签订后，双方依法签订的补充协议也是本合同文件的组成部分</w:t>
      </w:r>
      <w:r>
        <w:rPr>
          <w:rFonts w:hint="eastAsia" w:asciiTheme="minorEastAsia" w:hAnsiTheme="minorEastAsia" w:eastAsiaTheme="minorEastAsia" w:cstheme="minorEastAsia"/>
          <w:color w:val="auto"/>
          <w:sz w:val="24"/>
          <w:szCs w:val="24"/>
          <w:highlight w:val="none"/>
          <w:lang w:eastAsia="zh-CN"/>
        </w:rPr>
        <w:t>，具有同等法律效力</w:t>
      </w:r>
      <w:r>
        <w:rPr>
          <w:rFonts w:hint="eastAsia" w:asciiTheme="minorEastAsia" w:hAnsiTheme="minorEastAsia" w:eastAsiaTheme="minorEastAsia" w:cstheme="minorEastAsia"/>
          <w:color w:val="auto"/>
          <w:sz w:val="24"/>
          <w:szCs w:val="24"/>
          <w:highlight w:val="none"/>
        </w:rPr>
        <w:t>。</w:t>
      </w:r>
    </w:p>
    <w:p w14:paraId="23EF6966">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bookmarkStart w:id="0" w:name="_Toc475451547"/>
      <w:r>
        <w:rPr>
          <w:rFonts w:hint="eastAsia" w:asciiTheme="minorEastAsia" w:hAnsiTheme="minorEastAsia" w:eastAsiaTheme="minorEastAsia" w:cstheme="minorEastAsia"/>
          <w:b/>
          <w:color w:val="auto"/>
          <w:sz w:val="24"/>
          <w:szCs w:val="24"/>
          <w:highlight w:val="none"/>
        </w:rPr>
        <w:t>三、合同价款</w:t>
      </w:r>
    </w:p>
    <w:p w14:paraId="6F83A885">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（一）合同</w:t>
      </w:r>
      <w:r>
        <w:rPr>
          <w:rFonts w:hint="eastAsia" w:asciiTheme="minorEastAsia" w:hAnsiTheme="minorEastAsia" w:eastAsiaTheme="minorEastAsia" w:cstheme="minorEastAsia"/>
          <w:color w:val="auto"/>
          <w:sz w:val="24"/>
          <w:szCs w:val="24"/>
          <w:highlight w:val="none"/>
          <w:lang w:val="en-US" w:eastAsia="zh-CN"/>
        </w:rPr>
        <w:t>价款</w:t>
      </w:r>
      <w:r>
        <w:rPr>
          <w:rFonts w:hint="eastAsia" w:asciiTheme="minorEastAsia" w:hAnsiTheme="minorEastAsia" w:eastAsiaTheme="minorEastAsia" w:cstheme="minorEastAsia"/>
          <w:color w:val="auto"/>
          <w:sz w:val="24"/>
          <w:szCs w:val="24"/>
          <w:highlight w:val="none"/>
        </w:rPr>
        <w:t>为人民币（大写）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5E43662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（二）合同</w:t>
      </w:r>
      <w:r>
        <w:rPr>
          <w:rFonts w:hint="eastAsia" w:asciiTheme="minorEastAsia" w:hAnsiTheme="minorEastAsia" w:eastAsiaTheme="minorEastAsia" w:cstheme="minorEastAsia"/>
          <w:color w:val="auto"/>
          <w:sz w:val="24"/>
          <w:szCs w:val="24"/>
          <w:highlight w:val="none"/>
          <w:lang w:eastAsia="zh-CN"/>
        </w:rPr>
        <w:t>总价</w:t>
      </w:r>
      <w:r>
        <w:rPr>
          <w:rFonts w:hint="eastAsia" w:asciiTheme="minorEastAsia" w:hAnsiTheme="minorEastAsia" w:eastAsiaTheme="minorEastAsia" w:cstheme="minorEastAsia"/>
          <w:color w:val="auto"/>
          <w:sz w:val="24"/>
          <w:szCs w:val="24"/>
          <w:highlight w:val="none"/>
        </w:rPr>
        <w:t>一次性包死，不受市场价格变化因素的影响</w:t>
      </w:r>
      <w:r>
        <w:rPr>
          <w:rFonts w:hint="eastAsia" w:asciiTheme="minorEastAsia" w:hAnsiTheme="minorEastAsia" w:eastAsiaTheme="minorEastAsia" w:cstheme="minorEastAsia"/>
          <w:color w:val="auto"/>
          <w:sz w:val="24"/>
          <w:szCs w:val="24"/>
          <w:highlight w:val="none"/>
          <w:lang w:eastAsia="zh-CN"/>
        </w:rPr>
        <w:t>。</w:t>
      </w:r>
    </w:p>
    <w:p w14:paraId="6EA0757C">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四、款项结算</w:t>
      </w:r>
    </w:p>
    <w:p w14:paraId="3406B770">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（一）支付进度：</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w:t>
      </w:r>
    </w:p>
    <w:p w14:paraId="6ABBDB99">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（二）支付方式：</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6BD9688E">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（三）付款前，乙方应向甲方提供</w:t>
      </w:r>
      <w:r>
        <w:rPr>
          <w:rFonts w:hint="eastAsia" w:asciiTheme="minorEastAsia" w:hAnsiTheme="minorEastAsia" w:eastAsiaTheme="minorEastAsia" w:cstheme="minorEastAsia"/>
          <w:color w:val="auto"/>
          <w:sz w:val="24"/>
          <w:szCs w:val="24"/>
          <w:highlight w:val="none"/>
          <w:lang w:val="en-US" w:eastAsia="zh-CN"/>
        </w:rPr>
        <w:t>合规的等额发票</w:t>
      </w:r>
      <w:r>
        <w:rPr>
          <w:rFonts w:hint="eastAsia" w:asciiTheme="minorEastAsia" w:hAnsiTheme="minorEastAsia" w:eastAsiaTheme="minorEastAsia" w:cstheme="minorEastAsia"/>
          <w:color w:val="auto"/>
          <w:sz w:val="24"/>
          <w:szCs w:val="24"/>
          <w:highlight w:val="none"/>
        </w:rPr>
        <w:t>。</w:t>
      </w:r>
    </w:p>
    <w:p w14:paraId="7AE9D98A">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（四）</w:t>
      </w:r>
      <w:r>
        <w:rPr>
          <w:rFonts w:hint="eastAsia" w:asciiTheme="minorEastAsia" w:hAnsiTheme="minorEastAsia" w:eastAsiaTheme="minorEastAsia" w:cstheme="minorEastAsia"/>
          <w:color w:val="auto"/>
          <w:sz w:val="24"/>
          <w:szCs w:val="24"/>
          <w:highlight w:val="none"/>
        </w:rPr>
        <w:t>乙方开户银行指定账户为：</w:t>
      </w:r>
    </w:p>
    <w:p w14:paraId="5324E620">
      <w:pPr>
        <w:keepNext w:val="0"/>
        <w:keepLines w:val="0"/>
        <w:pageBreakBefore w:val="0"/>
        <w:widowControl w:val="0"/>
        <w:kinsoku/>
        <w:wordWrap/>
        <w:overflowPunct/>
        <w:topLinePunct w:val="0"/>
        <w:autoSpaceDE/>
        <w:autoSpaceDN/>
        <w:bidi w:val="0"/>
        <w:adjustRightInd w:val="0"/>
        <w:snapToGrid w:val="0"/>
        <w:spacing w:line="480" w:lineRule="auto"/>
        <w:ind w:firstLine="1200" w:firstLineChars="50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收款人：</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6B509A70">
      <w:pPr>
        <w:keepNext w:val="0"/>
        <w:keepLines w:val="0"/>
        <w:pageBreakBefore w:val="0"/>
        <w:widowControl w:val="0"/>
        <w:kinsoku/>
        <w:wordWrap/>
        <w:overflowPunct/>
        <w:topLinePunct w:val="0"/>
        <w:autoSpaceDE/>
        <w:autoSpaceDN/>
        <w:bidi w:val="0"/>
        <w:adjustRightInd w:val="0"/>
        <w:snapToGrid w:val="0"/>
        <w:spacing w:line="480" w:lineRule="auto"/>
        <w:ind w:firstLine="1200" w:firstLineChars="50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开户行：</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54B0D406">
      <w:pPr>
        <w:keepNext w:val="0"/>
        <w:keepLines w:val="0"/>
        <w:pageBreakBefore w:val="0"/>
        <w:widowControl w:val="0"/>
        <w:kinsoku/>
        <w:wordWrap/>
        <w:overflowPunct/>
        <w:topLinePunct w:val="0"/>
        <w:autoSpaceDE/>
        <w:autoSpaceDN/>
        <w:bidi w:val="0"/>
        <w:adjustRightInd w:val="0"/>
        <w:snapToGrid w:val="0"/>
        <w:spacing w:line="480" w:lineRule="auto"/>
        <w:ind w:firstLine="1200" w:firstLineChars="5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账号：</w:t>
      </w:r>
      <w:r>
        <w:rPr>
          <w:rFonts w:hint="eastAsia" w:asciiTheme="minorEastAsia" w:hAnsiTheme="minorEastAsia" w:eastAsiaTheme="minorEastAsia" w:cstheme="minorEastAsia"/>
          <w:color w:val="auto"/>
          <w:sz w:val="24"/>
          <w:szCs w:val="24"/>
          <w:highlight w:val="none"/>
          <w:u w:val="single"/>
          <w:lang w:val="en-US" w:eastAsia="zh-CN"/>
        </w:rPr>
        <w:t xml:space="preserve">                         </w:t>
      </w:r>
    </w:p>
    <w:bookmarkEnd w:id="0"/>
    <w:p w14:paraId="2B8BD22A">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五、项目实施地点、工作时间计划</w:t>
      </w:r>
    </w:p>
    <w:p w14:paraId="2EB81CDF">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（一）项目实施地点：</w:t>
      </w:r>
      <w:r>
        <w:rPr>
          <w:rFonts w:hint="eastAsia" w:asciiTheme="minorEastAsia" w:hAnsiTheme="minorEastAsia" w:eastAsiaTheme="minorEastAsia" w:cstheme="minorEastAsia"/>
          <w:color w:val="auto"/>
          <w:sz w:val="24"/>
          <w:szCs w:val="24"/>
          <w:highlight w:val="none"/>
          <w:lang w:eastAsia="zh-CN"/>
        </w:rPr>
        <w:t>采购人</w:t>
      </w:r>
      <w:r>
        <w:rPr>
          <w:rFonts w:hint="eastAsia" w:asciiTheme="minorEastAsia" w:hAnsiTheme="minorEastAsia" w:eastAsiaTheme="minorEastAsia" w:cstheme="minorEastAsia"/>
          <w:color w:val="auto"/>
          <w:sz w:val="24"/>
          <w:szCs w:val="24"/>
          <w:highlight w:val="none"/>
        </w:rPr>
        <w:t>指定地点；</w:t>
      </w:r>
    </w:p>
    <w:p w14:paraId="282053CE">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（二）</w:t>
      </w:r>
      <w:r>
        <w:rPr>
          <w:rFonts w:hint="eastAsia" w:asciiTheme="minorEastAsia" w:hAnsiTheme="minorEastAsia" w:eastAsiaTheme="minorEastAsia" w:cstheme="minorEastAsia"/>
          <w:color w:val="auto"/>
          <w:sz w:val="24"/>
          <w:szCs w:val="24"/>
          <w:highlight w:val="none"/>
          <w:lang w:eastAsia="zh-CN"/>
        </w:rPr>
        <w:t>服务周期</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自合同签订之日起一年</w:t>
      </w:r>
    </w:p>
    <w:p w14:paraId="6FBB9D56">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六</w:t>
      </w:r>
      <w:r>
        <w:rPr>
          <w:rFonts w:hint="eastAsia" w:asciiTheme="minorEastAsia" w:hAnsiTheme="minorEastAsia" w:eastAsiaTheme="minorEastAsia" w:cstheme="minorEastAsia"/>
          <w:b/>
          <w:bCs/>
          <w:color w:val="auto"/>
          <w:sz w:val="24"/>
          <w:szCs w:val="24"/>
          <w:highlight w:val="none"/>
        </w:rPr>
        <w:t>、服务内容及要求</w:t>
      </w:r>
    </w:p>
    <w:p w14:paraId="4ACF652F">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（具体</w:t>
      </w:r>
      <w:r>
        <w:rPr>
          <w:rFonts w:hint="eastAsia" w:asciiTheme="minorEastAsia" w:hAnsiTheme="minorEastAsia" w:eastAsiaTheme="minorEastAsia" w:cstheme="minorEastAsia"/>
          <w:color w:val="auto"/>
          <w:sz w:val="24"/>
          <w:szCs w:val="24"/>
          <w:highlight w:val="none"/>
          <w:lang w:val="en-US" w:eastAsia="zh-CN"/>
        </w:rPr>
        <w:t>详见磋商文件</w:t>
      </w:r>
      <w:r>
        <w:rPr>
          <w:rFonts w:hint="eastAsia" w:asciiTheme="minorEastAsia" w:hAnsiTheme="minorEastAsia" w:eastAsiaTheme="minorEastAsia" w:cstheme="minorEastAsia"/>
          <w:color w:val="auto"/>
          <w:sz w:val="24"/>
          <w:szCs w:val="24"/>
          <w:highlight w:val="none"/>
        </w:rPr>
        <w:t>第三章 磋商项目技术、服务、商务及其他要求）</w:t>
      </w:r>
    </w:p>
    <w:p w14:paraId="0CAA4E23">
      <w:pPr>
        <w:keepNext w:val="0"/>
        <w:keepLines w:val="0"/>
        <w:pageBreakBefore w:val="0"/>
        <w:widowControl w:val="0"/>
        <w:kinsoku/>
        <w:wordWrap/>
        <w:overflowPunct/>
        <w:topLinePunct w:val="0"/>
        <w:autoSpaceDE/>
        <w:autoSpaceDN/>
        <w:bidi w:val="0"/>
        <w:adjustRightInd w:val="0"/>
        <w:snapToGrid w:val="0"/>
        <w:spacing w:line="480" w:lineRule="auto"/>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bookmarkStart w:id="1" w:name="_Toc24855"/>
      <w:r>
        <w:rPr>
          <w:rFonts w:hint="eastAsia" w:asciiTheme="minorEastAsia" w:hAnsiTheme="minorEastAsia" w:eastAsiaTheme="minorEastAsia" w:cstheme="minorEastAsia"/>
          <w:b/>
          <w:bCs/>
          <w:color w:val="auto"/>
          <w:sz w:val="24"/>
          <w:szCs w:val="24"/>
          <w:highlight w:val="none"/>
          <w:lang w:val="en-US" w:eastAsia="zh-CN"/>
        </w:rPr>
        <w:t>七、甲方的权利和义务</w:t>
      </w:r>
      <w:bookmarkEnd w:id="1"/>
    </w:p>
    <w:p w14:paraId="6EB0E669">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1.对乙方所呈报的问题及时给予答复。</w:t>
      </w:r>
    </w:p>
    <w:p w14:paraId="1E1B609D">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2.有权对乙方配置人员进行身份和资格核查、备案。</w:t>
      </w:r>
    </w:p>
    <w:p w14:paraId="63DD9C27">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3.在服务过程中甲方现场工作人员有权对乙方派驻人员的具体工作进行调整安排，同时有权对乙方的服务工作提出合理化建议，并要求乙方限期改正。</w:t>
      </w:r>
    </w:p>
    <w:p w14:paraId="2DFDF88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4.有义务根据约定及时结算和支付合同费用。</w:t>
      </w:r>
    </w:p>
    <w:p w14:paraId="333B74C9">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5.有义务协助乙方共同提高服务质量。</w:t>
      </w:r>
    </w:p>
    <w:p w14:paraId="49DB67DA">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6.甲方有权要求乙方调换不符合甲方要求、不服从甲方安排及可能影响疫情防控服务的派驻人员。</w:t>
      </w:r>
    </w:p>
    <w:p w14:paraId="019F36DA">
      <w:pPr>
        <w:keepNext w:val="0"/>
        <w:keepLines w:val="0"/>
        <w:pageBreakBefore w:val="0"/>
        <w:widowControl w:val="0"/>
        <w:kinsoku/>
        <w:wordWrap/>
        <w:overflowPunct/>
        <w:topLinePunct w:val="0"/>
        <w:autoSpaceDE/>
        <w:autoSpaceDN/>
        <w:bidi w:val="0"/>
        <w:adjustRightInd w:val="0"/>
        <w:snapToGrid w:val="0"/>
        <w:spacing w:line="480" w:lineRule="auto"/>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八、乙方的权利和义务</w:t>
      </w:r>
    </w:p>
    <w:p w14:paraId="0BA5B40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 乙方须科学建立管理机构、配置关键岗位，保证机构设置完整、合理、精干高效。乙方负责培训、岗位分配、工资发放、考勤考核、奖励、检查、辞退、休假安排等。</w:t>
      </w:r>
    </w:p>
    <w:p w14:paraId="718B47D5">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 乙方应保证其配置人员符合国家、行业规定的准入条件、上岗条件和甲方要求。乙方有义务对其人员进行上岗培训、管理教育，确保能圆满顺利完成任务。</w:t>
      </w:r>
    </w:p>
    <w:p w14:paraId="5A00B662">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乙方负责本项目派驻人员的管理、生产组织及相关资料建立等，组织队伍完成合同规定的工作内容。定时召开例会，安排部署工作任务，重要会议内容、关键岗位调整、技术力量更替、管理制度更改修订等涉及到重要工作安排部署的，应及时与甲方相关负责人沟通报备。</w:t>
      </w:r>
    </w:p>
    <w:p w14:paraId="044A106C">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4.对于服务中出现的投诉、事故，乙方应当自行处理，对于涉及甲方工作质量、荣誉、经济损失等重大问题时，需向甲方有关负责人及时沟通汇报。</w:t>
      </w:r>
    </w:p>
    <w:p w14:paraId="07C4C1E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5.乙方应当根据工作量及服务标准，足量配置员工队伍，确保关键岗位及队伍的稳定。同时，乙方应当保证派驻人员服从甲方工作人员的指挥和安排。</w:t>
      </w:r>
    </w:p>
    <w:p w14:paraId="63798212">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6.在合同履行过程中如出现业务变动、增减，乙方主动配合甲方对业务量及费用进行重新核定工作。</w:t>
      </w:r>
    </w:p>
    <w:p w14:paraId="7DD5625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7.未经甲方事先书面同意，乙方不得将本合同全部或者部分转包给第三方。</w:t>
      </w:r>
    </w:p>
    <w:p w14:paraId="23356D0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8.乙方必须依法为乙方员工按时发放工资、购买各类社会保险，乙方应执行《劳动法》《劳动合同法》的相关规定，确保人员稳定。</w:t>
      </w:r>
    </w:p>
    <w:p w14:paraId="1655D313">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9.乙方应当确保其工作人员爱护服务区内的各种设施设备，注意节约水、电，若损坏相关设备设施的，乙方应当承担赔偿责任。</w:t>
      </w:r>
    </w:p>
    <w:p w14:paraId="3A62219C">
      <w:pPr>
        <w:keepNext w:val="0"/>
        <w:keepLines w:val="0"/>
        <w:pageBreakBefore w:val="0"/>
        <w:widowControl w:val="0"/>
        <w:kinsoku/>
        <w:wordWrap/>
        <w:overflowPunct/>
        <w:topLinePunct w:val="0"/>
        <w:autoSpaceDE/>
        <w:autoSpaceDN/>
        <w:bidi w:val="0"/>
        <w:adjustRightInd w:val="0"/>
        <w:snapToGrid w:val="0"/>
        <w:spacing w:line="480" w:lineRule="auto"/>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bookmarkStart w:id="2" w:name="_Toc11049"/>
      <w:r>
        <w:rPr>
          <w:rFonts w:hint="eastAsia" w:asciiTheme="minorEastAsia" w:hAnsiTheme="minorEastAsia" w:eastAsiaTheme="minorEastAsia" w:cstheme="minorEastAsia"/>
          <w:b/>
          <w:bCs/>
          <w:color w:val="auto"/>
          <w:sz w:val="24"/>
          <w:szCs w:val="24"/>
          <w:highlight w:val="none"/>
          <w:lang w:val="en-US" w:eastAsia="zh-CN"/>
        </w:rPr>
        <w:t>九 安全责任划分</w:t>
      </w:r>
      <w:bookmarkEnd w:id="2"/>
    </w:p>
    <w:p w14:paraId="3C0F7F2A">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因乙方管理不力等原因造成的安全事件或人身伤害、环境污染等事件，以及其他安全环保事故、劳动纠纷、经济损失等，由乙方负责并承担责任。乙方人员在合同履行期间发生责任人身伤亡事故，全部由乙方自行负责并承担相应赔偿责任。</w:t>
      </w:r>
    </w:p>
    <w:p w14:paraId="0CBFDEAC">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2.乙方必须按照法律相关规定对人身安全负责，乙方工作人员在工作场所统一着装穿戴合格的劳动防护用品。</w:t>
      </w:r>
    </w:p>
    <w:p w14:paraId="70F27BCC">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3.乙方派驻人员的道路交通安全由乙方负责。工作期间发生的道路交通安全事故责任，以公安部门认定为准。乙方单位或工作人员原因导致的道路交通责任事故，由乙方负责处理。</w:t>
      </w:r>
    </w:p>
    <w:p w14:paraId="46649B07">
      <w:pPr>
        <w:keepNext w:val="0"/>
        <w:keepLines w:val="0"/>
        <w:pageBreakBefore w:val="0"/>
        <w:widowControl/>
        <w:kinsoku/>
        <w:wordWrap/>
        <w:overflowPunct/>
        <w:topLinePunct w:val="0"/>
        <w:autoSpaceDE/>
        <w:autoSpaceDN/>
        <w:bidi w:val="0"/>
        <w:spacing w:line="480" w:lineRule="auto"/>
        <w:jc w:val="left"/>
        <w:textAlignment w:val="auto"/>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val="en-US" w:eastAsia="zh-CN"/>
        </w:rPr>
        <w:t>十</w:t>
      </w:r>
      <w:r>
        <w:rPr>
          <w:rFonts w:hint="eastAsia" w:asciiTheme="minorEastAsia" w:hAnsiTheme="minorEastAsia" w:eastAsiaTheme="minorEastAsia" w:cstheme="minorEastAsia"/>
          <w:b/>
          <w:color w:val="auto"/>
          <w:sz w:val="24"/>
          <w:szCs w:val="24"/>
          <w:highlight w:val="none"/>
          <w:lang w:eastAsia="zh-CN"/>
        </w:rPr>
        <w:t>、</w:t>
      </w:r>
      <w:r>
        <w:rPr>
          <w:rFonts w:hint="eastAsia" w:asciiTheme="minorEastAsia" w:hAnsiTheme="minorEastAsia" w:eastAsiaTheme="minorEastAsia" w:cstheme="minorEastAsia"/>
          <w:b/>
          <w:color w:val="auto"/>
          <w:sz w:val="24"/>
          <w:szCs w:val="24"/>
          <w:highlight w:val="none"/>
        </w:rPr>
        <w:t>双方权利及义务</w:t>
      </w:r>
    </w:p>
    <w:p w14:paraId="6980E711">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甲乙双方必须遵守本合同并执行合同中的各项规定，保证本合同的正常履行。</w:t>
      </w:r>
    </w:p>
    <w:p w14:paraId="6FF611CD">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本合同签订后甲乙双方不得单方终止合同，如乙方违约，应退还预付款，并赔偿给甲方实际造成的损失；如甲方违约，乙方收取的预付款不予退还。</w:t>
      </w:r>
    </w:p>
    <w:p w14:paraId="3C502696">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如因乙方存在以下行为，甲方有权终止合同，依法向乙方进行经济索赔，并报请政府采购监督管理机关进行相应的行政处罚。</w:t>
      </w:r>
    </w:p>
    <w:p w14:paraId="09A5C50E">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 相应资质被取消；</w:t>
      </w:r>
    </w:p>
    <w:p w14:paraId="74D0B2E0">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 存在弄虚作假、传递虚假信息等违法违规行为；</w:t>
      </w:r>
    </w:p>
    <w:p w14:paraId="7F5ADBE9">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③ </w:t>
      </w:r>
      <w:r>
        <w:rPr>
          <w:rFonts w:hint="eastAsia" w:asciiTheme="minorEastAsia" w:hAnsiTheme="minorEastAsia" w:eastAsiaTheme="minorEastAsia" w:cstheme="minorEastAsia"/>
          <w:color w:val="auto"/>
          <w:sz w:val="24"/>
          <w:szCs w:val="24"/>
          <w:highlight w:val="none"/>
          <w:lang w:eastAsia="zh-CN"/>
        </w:rPr>
        <w:t>存在泄露甲方相关信息等违法违规行为</w:t>
      </w:r>
      <w:r>
        <w:rPr>
          <w:rFonts w:hint="eastAsia" w:asciiTheme="minorEastAsia" w:hAnsiTheme="minorEastAsia" w:eastAsiaTheme="minorEastAsia" w:cstheme="minorEastAsia"/>
          <w:color w:val="auto"/>
          <w:sz w:val="24"/>
          <w:szCs w:val="24"/>
          <w:highlight w:val="none"/>
        </w:rPr>
        <w:t>；</w:t>
      </w:r>
    </w:p>
    <w:p w14:paraId="268F04AE">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④ 存在不规范操作行为；</w:t>
      </w:r>
    </w:p>
    <w:p w14:paraId="7C508FA6">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⑤ 未全面履行合同义务或者发生违约。</w:t>
      </w:r>
    </w:p>
    <w:p w14:paraId="4F0B46A3">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甲方违约的，应当赔偿给乙方造成的直接经济损失。</w:t>
      </w:r>
    </w:p>
    <w:p w14:paraId="689435BD">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本合同未经双方同意，任何一方不得以任何形式公开本合同及附件内容，以确保双方的商业机密。</w:t>
      </w:r>
    </w:p>
    <w:p w14:paraId="3B2D490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6</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06CB844">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val="en-US" w:eastAsia="zh-CN"/>
        </w:rPr>
        <w:t>十一</w:t>
      </w:r>
      <w:r>
        <w:rPr>
          <w:rFonts w:hint="eastAsia" w:asciiTheme="minorEastAsia" w:hAnsiTheme="minorEastAsia" w:eastAsiaTheme="minorEastAsia" w:cstheme="minorEastAsia"/>
          <w:b/>
          <w:color w:val="auto"/>
          <w:sz w:val="24"/>
          <w:szCs w:val="24"/>
          <w:highlight w:val="none"/>
        </w:rPr>
        <w:t>、违约责任</w:t>
      </w:r>
    </w:p>
    <w:p w14:paraId="68FA4F6F">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（一）按《</w:t>
      </w:r>
      <w:r>
        <w:rPr>
          <w:rFonts w:hint="eastAsia" w:asciiTheme="minorEastAsia" w:hAnsiTheme="minorEastAsia" w:eastAsiaTheme="minorEastAsia" w:cstheme="minorEastAsia"/>
          <w:color w:val="auto"/>
          <w:sz w:val="24"/>
          <w:szCs w:val="24"/>
          <w:highlight w:val="none"/>
          <w:lang w:eastAsia="zh-CN"/>
        </w:rPr>
        <w:t>民法典</w:t>
      </w:r>
      <w:r>
        <w:rPr>
          <w:rFonts w:hint="eastAsia" w:asciiTheme="minorEastAsia" w:hAnsiTheme="minorEastAsia" w:eastAsiaTheme="minorEastAsia" w:cstheme="minorEastAsia"/>
          <w:color w:val="auto"/>
          <w:sz w:val="24"/>
          <w:szCs w:val="24"/>
          <w:highlight w:val="none"/>
        </w:rPr>
        <w:t>》中的相关条款执行。</w:t>
      </w:r>
    </w:p>
    <w:p w14:paraId="1FA77E67">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w:t>
      </w:r>
      <w:r>
        <w:rPr>
          <w:rFonts w:hint="eastAsia" w:asciiTheme="minorEastAsia" w:hAnsiTheme="minorEastAsia" w:eastAsiaTheme="minorEastAsia" w:cstheme="minorEastAsia"/>
          <w:color w:val="auto"/>
          <w:sz w:val="24"/>
          <w:szCs w:val="24"/>
          <w:highlight w:val="none"/>
          <w:lang w:eastAsia="zh-CN"/>
        </w:rPr>
        <w:t>未</w:t>
      </w:r>
      <w:r>
        <w:rPr>
          <w:rFonts w:hint="eastAsia" w:asciiTheme="minorEastAsia" w:hAnsiTheme="minorEastAsia" w:eastAsiaTheme="minorEastAsia" w:cstheme="minorEastAsia"/>
          <w:color w:val="auto"/>
          <w:sz w:val="24"/>
          <w:szCs w:val="24"/>
          <w:highlight w:val="none"/>
        </w:rPr>
        <w:t>按合同要求提供服务或服务质量不能满足采购技术要求，乙方必须无条件提高技术</w:t>
      </w:r>
      <w:r>
        <w:rPr>
          <w:rFonts w:hint="eastAsia" w:asciiTheme="minorEastAsia" w:hAnsiTheme="minorEastAsia" w:eastAsiaTheme="minorEastAsia" w:cstheme="minorEastAsia"/>
          <w:color w:val="auto"/>
          <w:sz w:val="24"/>
          <w:szCs w:val="24"/>
          <w:highlight w:val="none"/>
        </w:rPr>
        <w:t>，完善服务质量</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否则，甲方会同监督机构有权终止合同并对乙方违约行为进行追究，同时按政府采购供应商管理办法进行相应的处罚。</w:t>
      </w:r>
    </w:p>
    <w:p w14:paraId="755E34BD">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（三）任何一方因不可抗力原因不能履行</w:t>
      </w:r>
      <w:r>
        <w:rPr>
          <w:rFonts w:hint="eastAsia" w:asciiTheme="minorEastAsia" w:hAnsiTheme="minorEastAsia" w:eastAsiaTheme="minorEastAsia" w:cstheme="minorEastAsia"/>
          <w:color w:val="auto"/>
          <w:sz w:val="24"/>
          <w:szCs w:val="24"/>
          <w:highlight w:val="none"/>
          <w:lang w:eastAsia="zh-CN"/>
        </w:rPr>
        <w:t>合同</w:t>
      </w:r>
      <w:r>
        <w:rPr>
          <w:rFonts w:hint="eastAsia" w:asciiTheme="minorEastAsia" w:hAnsiTheme="minorEastAsia" w:eastAsiaTheme="minorEastAsia" w:cstheme="minorEastAsia"/>
          <w:color w:val="auto"/>
          <w:sz w:val="24"/>
          <w:szCs w:val="24"/>
          <w:highlight w:val="none"/>
        </w:rPr>
        <w:t>时，应尽快通知对方，双方均设法补偿。如仍无法履约</w:t>
      </w:r>
      <w:r>
        <w:rPr>
          <w:rFonts w:hint="eastAsia" w:asciiTheme="minorEastAsia" w:hAnsiTheme="minorEastAsia" w:eastAsiaTheme="minorEastAsia" w:cstheme="minorEastAsia"/>
          <w:color w:val="auto"/>
          <w:sz w:val="24"/>
          <w:szCs w:val="24"/>
          <w:highlight w:val="none"/>
          <w:lang w:eastAsia="zh-CN"/>
        </w:rPr>
        <w:t>合同</w:t>
      </w:r>
      <w:r>
        <w:rPr>
          <w:rFonts w:hint="eastAsia" w:asciiTheme="minorEastAsia" w:hAnsiTheme="minorEastAsia" w:eastAsiaTheme="minorEastAsia" w:cstheme="minorEastAsia"/>
          <w:color w:val="auto"/>
          <w:sz w:val="24"/>
          <w:szCs w:val="24"/>
          <w:highlight w:val="none"/>
        </w:rPr>
        <w:t>，可协商延缓或撤销</w:t>
      </w:r>
      <w:r>
        <w:rPr>
          <w:rFonts w:hint="eastAsia" w:asciiTheme="minorEastAsia" w:hAnsiTheme="minorEastAsia" w:eastAsiaTheme="minorEastAsia" w:cstheme="minorEastAsia"/>
          <w:color w:val="auto"/>
          <w:sz w:val="24"/>
          <w:szCs w:val="24"/>
          <w:highlight w:val="none"/>
          <w:lang w:eastAsia="zh-CN"/>
        </w:rPr>
        <w:t>合同</w:t>
      </w:r>
      <w:r>
        <w:rPr>
          <w:rFonts w:hint="eastAsia" w:asciiTheme="minorEastAsia" w:hAnsiTheme="minorEastAsia" w:eastAsiaTheme="minorEastAsia" w:cstheme="minorEastAsia"/>
          <w:color w:val="auto"/>
          <w:sz w:val="24"/>
          <w:szCs w:val="24"/>
          <w:highlight w:val="none"/>
        </w:rPr>
        <w:t>，双方责任免除。</w:t>
      </w:r>
    </w:p>
    <w:p w14:paraId="5BE6865F">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十</w:t>
      </w:r>
      <w:r>
        <w:rPr>
          <w:rFonts w:hint="eastAsia" w:asciiTheme="minorEastAsia" w:hAnsiTheme="minorEastAsia" w:eastAsiaTheme="minorEastAsia" w:cstheme="minorEastAsia"/>
          <w:b/>
          <w:color w:val="auto"/>
          <w:sz w:val="24"/>
          <w:szCs w:val="24"/>
          <w:highlight w:val="none"/>
          <w:lang w:val="en-US" w:eastAsia="zh-CN"/>
        </w:rPr>
        <w:t>二</w:t>
      </w:r>
      <w:r>
        <w:rPr>
          <w:rFonts w:hint="eastAsia" w:asciiTheme="minorEastAsia" w:hAnsiTheme="minorEastAsia" w:eastAsiaTheme="minorEastAsia" w:cstheme="minorEastAsia"/>
          <w:b/>
          <w:color w:val="auto"/>
          <w:sz w:val="24"/>
          <w:szCs w:val="24"/>
          <w:highlight w:val="none"/>
        </w:rPr>
        <w:t>、合同争议解决的方式</w:t>
      </w:r>
    </w:p>
    <w:p w14:paraId="72B38D84">
      <w:pPr>
        <w:keepNext w:val="0"/>
        <w:keepLines w:val="0"/>
        <w:pageBreakBefore w:val="0"/>
        <w:widowControl w:val="0"/>
        <w:kinsoku/>
        <w:wordWrap/>
        <w:overflowPunct/>
        <w:topLinePunct w:val="0"/>
        <w:autoSpaceDE/>
        <w:autoSpaceDN/>
        <w:bidi w:val="0"/>
        <w:adjustRightInd w:val="0"/>
        <w:snapToGrid w:val="0"/>
        <w:spacing w:line="480" w:lineRule="auto"/>
        <w:ind w:left="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本合同在履行过程中发生的争议，由甲、乙双</w:t>
      </w:r>
      <w:r>
        <w:rPr>
          <w:rFonts w:hint="eastAsia" w:asciiTheme="minorEastAsia" w:hAnsiTheme="minorEastAsia" w:eastAsiaTheme="minorEastAsia" w:cstheme="minorEastAsia"/>
          <w:color w:val="auto"/>
          <w:sz w:val="24"/>
          <w:szCs w:val="24"/>
          <w:highlight w:val="none"/>
        </w:rPr>
        <w:t>方当事人协商解决，协商不成的按下列第</w:t>
      </w:r>
      <w:r>
        <w:rPr>
          <w:rFonts w:hint="eastAsia" w:asciiTheme="minorEastAsia" w:hAnsiTheme="minorEastAsia" w:eastAsiaTheme="minorEastAsia" w:cstheme="minorEastAsia"/>
          <w:color w:val="auto"/>
          <w:sz w:val="24"/>
          <w:szCs w:val="24"/>
          <w:highlight w:val="none"/>
          <w:u w:val="single"/>
          <w:lang w:val="en-US" w:eastAsia="zh-CN"/>
        </w:rPr>
        <w:t xml:space="preserve"> 二 </w:t>
      </w:r>
      <w:r>
        <w:rPr>
          <w:rFonts w:hint="eastAsia" w:asciiTheme="minorEastAsia" w:hAnsiTheme="minorEastAsia" w:eastAsiaTheme="minorEastAsia" w:cstheme="minorEastAsia"/>
          <w:color w:val="auto"/>
          <w:sz w:val="24"/>
          <w:szCs w:val="24"/>
          <w:highlight w:val="none"/>
        </w:rPr>
        <w:t>种方式解决：</w:t>
      </w:r>
    </w:p>
    <w:p w14:paraId="075EE78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（一）提交</w:t>
      </w:r>
      <w:r>
        <w:rPr>
          <w:rFonts w:hint="eastAsia" w:asciiTheme="minorEastAsia" w:hAnsiTheme="minorEastAsia" w:eastAsiaTheme="minorEastAsia" w:cstheme="minorEastAsia"/>
          <w:color w:val="auto"/>
          <w:sz w:val="24"/>
          <w:szCs w:val="24"/>
          <w:highlight w:val="none"/>
          <w:lang w:eastAsia="zh-CN"/>
        </w:rPr>
        <w:t>项目所在地</w:t>
      </w:r>
      <w:r>
        <w:rPr>
          <w:rFonts w:hint="eastAsia" w:asciiTheme="minorEastAsia" w:hAnsiTheme="minorEastAsia" w:eastAsiaTheme="minorEastAsia" w:cstheme="minorEastAsia"/>
          <w:color w:val="auto"/>
          <w:sz w:val="24"/>
          <w:szCs w:val="24"/>
          <w:highlight w:val="none"/>
        </w:rPr>
        <w:t>仲裁；</w:t>
      </w:r>
    </w:p>
    <w:p w14:paraId="77C3DCD4">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（二）依法向</w:t>
      </w:r>
      <w:r>
        <w:rPr>
          <w:rFonts w:hint="eastAsia" w:asciiTheme="minorEastAsia" w:hAnsiTheme="minorEastAsia" w:eastAsiaTheme="minorEastAsia" w:cstheme="minorEastAsia"/>
          <w:color w:val="auto"/>
          <w:sz w:val="24"/>
          <w:szCs w:val="24"/>
          <w:highlight w:val="none"/>
          <w:lang w:eastAsia="zh-CN"/>
        </w:rPr>
        <w:t>项目所在地</w:t>
      </w:r>
      <w:r>
        <w:rPr>
          <w:rFonts w:hint="eastAsia" w:asciiTheme="minorEastAsia" w:hAnsiTheme="minorEastAsia" w:eastAsiaTheme="minorEastAsia" w:cstheme="minorEastAsia"/>
          <w:color w:val="auto"/>
          <w:sz w:val="24"/>
          <w:szCs w:val="24"/>
          <w:highlight w:val="none"/>
        </w:rPr>
        <w:t>人民法院起诉。</w:t>
      </w:r>
    </w:p>
    <w:p w14:paraId="3BF9D04E">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十</w:t>
      </w:r>
      <w:r>
        <w:rPr>
          <w:rFonts w:hint="eastAsia" w:asciiTheme="minorEastAsia" w:hAnsiTheme="minorEastAsia" w:eastAsiaTheme="minorEastAsia" w:cstheme="minorEastAsia"/>
          <w:b/>
          <w:color w:val="auto"/>
          <w:sz w:val="24"/>
          <w:szCs w:val="24"/>
          <w:highlight w:val="none"/>
          <w:lang w:val="en-US" w:eastAsia="zh-CN"/>
        </w:rPr>
        <w:t>三</w:t>
      </w:r>
      <w:r>
        <w:rPr>
          <w:rFonts w:hint="eastAsia" w:asciiTheme="minorEastAsia" w:hAnsiTheme="minorEastAsia" w:eastAsiaTheme="minorEastAsia" w:cstheme="minorEastAsia"/>
          <w:b/>
          <w:color w:val="auto"/>
          <w:sz w:val="24"/>
          <w:szCs w:val="24"/>
          <w:highlight w:val="none"/>
        </w:rPr>
        <w:t>、合同生效</w:t>
      </w:r>
    </w:p>
    <w:p w14:paraId="3A21D70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一</w:t>
      </w:r>
      <w:r>
        <w:rPr>
          <w:rFonts w:hint="eastAsia" w:asciiTheme="minorEastAsia" w:hAnsiTheme="minorEastAsia" w:eastAsiaTheme="minorEastAsia" w:cstheme="minorEastAsia"/>
          <w:color w:val="auto"/>
          <w:sz w:val="24"/>
          <w:szCs w:val="24"/>
          <w:highlight w:val="none"/>
        </w:rPr>
        <w:t>）本合同须经甲、乙双方的法定代表人（授权代理人）在合同书上签字并加盖本单位公章后正式生效。</w:t>
      </w:r>
    </w:p>
    <w:p w14:paraId="494E562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二</w:t>
      </w:r>
      <w:r>
        <w:rPr>
          <w:rFonts w:hint="eastAsia" w:asciiTheme="minorEastAsia" w:hAnsiTheme="minorEastAsia" w:eastAsiaTheme="minorEastAsia" w:cstheme="minorEastAsia"/>
          <w:color w:val="auto"/>
          <w:sz w:val="24"/>
          <w:szCs w:val="24"/>
          <w:highlight w:val="none"/>
        </w:rPr>
        <w:t>）合同生效后，甲、乙双方须严格执行本合同条款的规定，全面履行合同，违者按《中华人民共和国</w:t>
      </w:r>
      <w:r>
        <w:rPr>
          <w:rFonts w:hint="eastAsia" w:asciiTheme="minorEastAsia" w:hAnsiTheme="minorEastAsia" w:eastAsiaTheme="minorEastAsia" w:cstheme="minorEastAsia"/>
          <w:color w:val="auto"/>
          <w:sz w:val="24"/>
          <w:szCs w:val="24"/>
          <w:highlight w:val="none"/>
          <w:lang w:eastAsia="zh-CN"/>
        </w:rPr>
        <w:t>民法典</w:t>
      </w:r>
      <w:r>
        <w:rPr>
          <w:rFonts w:hint="eastAsia" w:asciiTheme="minorEastAsia" w:hAnsiTheme="minorEastAsia" w:eastAsiaTheme="minorEastAsia" w:cstheme="minorEastAsia"/>
          <w:color w:val="auto"/>
          <w:sz w:val="24"/>
          <w:szCs w:val="24"/>
          <w:highlight w:val="none"/>
        </w:rPr>
        <w:t>》的有关规定承担相应责任。</w:t>
      </w:r>
    </w:p>
    <w:p w14:paraId="4133E8CE">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三</w:t>
      </w:r>
      <w:r>
        <w:rPr>
          <w:rFonts w:hint="eastAsia" w:asciiTheme="minorEastAsia" w:hAnsiTheme="minorEastAsia" w:eastAsiaTheme="minorEastAsia" w:cstheme="minorEastAsia"/>
          <w:color w:val="auto"/>
          <w:sz w:val="24"/>
          <w:szCs w:val="24"/>
          <w:highlight w:val="none"/>
        </w:rPr>
        <w:t>）本合同一式</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份</w:t>
      </w:r>
      <w:r>
        <w:rPr>
          <w:rFonts w:hint="eastAsia" w:asciiTheme="minorEastAsia" w:hAnsiTheme="minorEastAsia" w:eastAsiaTheme="minorEastAsia" w:cstheme="minorEastAsia"/>
          <w:color w:val="auto"/>
          <w:sz w:val="24"/>
          <w:szCs w:val="24"/>
          <w:highlight w:val="none"/>
        </w:rPr>
        <w:t>，甲乙双方各执</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份。</w:t>
      </w:r>
    </w:p>
    <w:p w14:paraId="66CA4563">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四</w:t>
      </w:r>
      <w:r>
        <w:rPr>
          <w:rFonts w:hint="eastAsia" w:asciiTheme="minorEastAsia" w:hAnsiTheme="minorEastAsia" w:eastAsiaTheme="minorEastAsia" w:cstheme="minorEastAsia"/>
          <w:color w:val="auto"/>
          <w:sz w:val="24"/>
          <w:szCs w:val="24"/>
          <w:highlight w:val="none"/>
        </w:rPr>
        <w:t>）本合同如有未尽事宜，甲、乙双方协商解决。</w:t>
      </w:r>
    </w:p>
    <w:p w14:paraId="737CE60D">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正文完</w:t>
      </w:r>
      <w:r>
        <w:rPr>
          <w:rFonts w:hint="eastAsia" w:asciiTheme="minorEastAsia" w:hAnsiTheme="minorEastAsia" w:eastAsiaTheme="minorEastAsia" w:cstheme="minorEastAsia"/>
          <w:color w:val="auto"/>
          <w:sz w:val="24"/>
          <w:szCs w:val="24"/>
          <w:highlight w:val="none"/>
          <w:lang w:eastAsia="zh-CN"/>
        </w:rPr>
        <w:t>）</w:t>
      </w:r>
    </w:p>
    <w:p w14:paraId="1ED84B9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FBE4A3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408BB1D7">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122FF5F">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301E2D3">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B029F35">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（以下无正文，为签字盖章内容）</w:t>
      </w:r>
    </w:p>
    <w:tbl>
      <w:tblPr>
        <w:tblStyle w:val="7"/>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2FED9CB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6DEF720E">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甲  方</w:t>
            </w:r>
          </w:p>
        </w:tc>
        <w:tc>
          <w:tcPr>
            <w:tcW w:w="4202" w:type="dxa"/>
            <w:noWrap w:val="0"/>
            <w:vAlign w:val="center"/>
          </w:tcPr>
          <w:p w14:paraId="60A22282">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乙  方</w:t>
            </w:r>
          </w:p>
        </w:tc>
      </w:tr>
      <w:tr w14:paraId="079E8AE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607B675F">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（盖章）</w:t>
            </w:r>
          </w:p>
        </w:tc>
        <w:tc>
          <w:tcPr>
            <w:tcW w:w="4202" w:type="dxa"/>
            <w:noWrap w:val="0"/>
            <w:vAlign w:val="center"/>
          </w:tcPr>
          <w:p w14:paraId="135019D6">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（盖章）</w:t>
            </w:r>
          </w:p>
        </w:tc>
      </w:tr>
      <w:tr w14:paraId="2BF769D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3A137067">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 xml:space="preserve">地址： </w:t>
            </w:r>
          </w:p>
        </w:tc>
        <w:tc>
          <w:tcPr>
            <w:tcW w:w="4202" w:type="dxa"/>
            <w:noWrap w:val="0"/>
            <w:vAlign w:val="center"/>
          </w:tcPr>
          <w:p w14:paraId="42DFC5BF">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地址：</w:t>
            </w:r>
          </w:p>
        </w:tc>
      </w:tr>
      <w:tr w14:paraId="618232D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4CD8992A">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邮编：</w:t>
            </w:r>
          </w:p>
        </w:tc>
        <w:tc>
          <w:tcPr>
            <w:tcW w:w="4202" w:type="dxa"/>
            <w:noWrap w:val="0"/>
            <w:vAlign w:val="center"/>
          </w:tcPr>
          <w:p w14:paraId="294A1837">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邮编：</w:t>
            </w:r>
          </w:p>
        </w:tc>
      </w:tr>
      <w:tr w14:paraId="7B7E590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1C64206A">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 xml:space="preserve">法定代表人或被授权代表： </w:t>
            </w:r>
          </w:p>
        </w:tc>
        <w:tc>
          <w:tcPr>
            <w:tcW w:w="4202" w:type="dxa"/>
            <w:noWrap w:val="0"/>
            <w:vAlign w:val="center"/>
          </w:tcPr>
          <w:p w14:paraId="08D67F67">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法定代表人或被授权代表：</w:t>
            </w:r>
          </w:p>
        </w:tc>
      </w:tr>
      <w:tr w14:paraId="71E5E13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4DF4047F">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电话：</w:t>
            </w:r>
          </w:p>
        </w:tc>
        <w:tc>
          <w:tcPr>
            <w:tcW w:w="4202" w:type="dxa"/>
            <w:noWrap w:val="0"/>
            <w:vAlign w:val="center"/>
          </w:tcPr>
          <w:p w14:paraId="2349D8A2">
            <w:pPr>
              <w:keepNext w:val="0"/>
              <w:keepLines w:val="0"/>
              <w:widowControl/>
              <w:suppressLineNumbers w:val="0"/>
              <w:autoSpaceDE w:val="0"/>
              <w:autoSpaceDN w:val="0"/>
              <w:adjustRightInd w:val="0"/>
              <w:spacing w:before="0" w:beforeAutospacing="0" w:after="0" w:afterAutospacing="0" w:line="480" w:lineRule="auto"/>
              <w:ind w:left="600" w:right="0" w:hanging="600" w:hangingChars="30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电话：</w:t>
            </w:r>
          </w:p>
        </w:tc>
      </w:tr>
      <w:tr w14:paraId="570AA00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387220B0">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传真：</w:t>
            </w:r>
          </w:p>
        </w:tc>
        <w:tc>
          <w:tcPr>
            <w:tcW w:w="4202" w:type="dxa"/>
            <w:noWrap w:val="0"/>
            <w:vAlign w:val="center"/>
          </w:tcPr>
          <w:p w14:paraId="2787B27A">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传真：</w:t>
            </w:r>
          </w:p>
        </w:tc>
      </w:tr>
      <w:tr w14:paraId="367EBDD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7E024AEF">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开户银行：</w:t>
            </w:r>
          </w:p>
        </w:tc>
        <w:tc>
          <w:tcPr>
            <w:tcW w:w="4202" w:type="dxa"/>
            <w:noWrap w:val="0"/>
            <w:vAlign w:val="center"/>
          </w:tcPr>
          <w:p w14:paraId="3190AFB4">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开户银行：</w:t>
            </w:r>
          </w:p>
        </w:tc>
      </w:tr>
      <w:tr w14:paraId="14170E9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0"/>
            <w:vAlign w:val="center"/>
          </w:tcPr>
          <w:p w14:paraId="5093181B">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日期：</w:t>
            </w:r>
          </w:p>
        </w:tc>
        <w:tc>
          <w:tcPr>
            <w:tcW w:w="4202" w:type="dxa"/>
            <w:noWrap w:val="0"/>
            <w:vAlign w:val="center"/>
          </w:tcPr>
          <w:p w14:paraId="27C07AE0">
            <w:pPr>
              <w:keepNext w:val="0"/>
              <w:keepLines w:val="0"/>
              <w:widowControl/>
              <w:suppressLineNumbers w:val="0"/>
              <w:autoSpaceDE w:val="0"/>
              <w:autoSpaceDN w:val="0"/>
              <w:adjustRightInd w:val="0"/>
              <w:spacing w:before="0" w:beforeAutospacing="0" w:after="0" w:afterAutospacing="0" w:line="480" w:lineRule="auto"/>
              <w:ind w:left="0" w:right="0"/>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pacing w:val="-20"/>
                <w:sz w:val="24"/>
                <w:szCs w:val="24"/>
                <w:highlight w:val="none"/>
              </w:rPr>
              <w:t>日期：</w:t>
            </w:r>
          </w:p>
        </w:tc>
      </w:tr>
    </w:tbl>
    <w:p w14:paraId="4D6C1CD8">
      <w:pPr>
        <w:rPr>
          <w:rFonts w:hint="eastAsia" w:ascii="宋体" w:hAnsi="宋体" w:eastAsia="宋体" w:cs="宋体"/>
          <w:color w:val="auto"/>
          <w:sz w:val="28"/>
          <w:szCs w:val="28"/>
          <w:highlight w:val="none"/>
        </w:rPr>
      </w:pPr>
    </w:p>
    <w:p w14:paraId="5FA2FBF8">
      <w:pPr>
        <w:rPr>
          <w:color w:val="auto"/>
          <w:highlight w:val="none"/>
        </w:rPr>
      </w:pPr>
    </w:p>
    <w:sectPr>
      <w:footerReference r:id="rId5" w:type="default"/>
      <w:pgSz w:w="11900" w:h="16840"/>
      <w:pgMar w:top="1440" w:right="1080" w:bottom="1440" w:left="1080" w:header="0" w:footer="567" w:gutter="0"/>
      <w:pgNumType w:fmt="decimal" w:start="1"/>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466CC">
    <w:pPr>
      <w:pStyle w:val="2"/>
      <w:spacing w:line="173" w:lineRule="auto"/>
      <w:ind w:left="488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2D40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B2D40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07CA0"/>
    <w:rsid w:val="0DFD3FC8"/>
    <w:rsid w:val="45A07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9"/>
      <w:szCs w:val="19"/>
      <w:lang w:val="en-US" w:eastAsia="en-US" w:bidi="ar-SA"/>
    </w:rPr>
  </w:style>
  <w:style w:type="paragraph" w:styleId="3">
    <w:name w:val="Body Text Indent"/>
    <w:basedOn w:val="1"/>
    <w:next w:val="1"/>
    <w:semiHidden/>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unhideWhenUsed/>
    <w:qFormat/>
    <w:uiPriority w:val="99"/>
    <w:pPr>
      <w:ind w:firstLine="420" w:firstLineChars="200"/>
    </w:pPr>
    <w:rPr>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2542</Words>
  <Characters>2574</Characters>
  <Lines>0</Lines>
  <Paragraphs>0</Paragraphs>
  <TotalTime>0</TotalTime>
  <ScaleCrop>false</ScaleCrop>
  <LinksUpToDate>false</LinksUpToDate>
  <CharactersWithSpaces>2971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2025-07-11T08:05:00Z</dcterms:created>
  <dc:creator>代理</dc:creator>
  <cp:lastModifiedBy>代理</cp:lastModifiedBy>
  <dcterms:modified xsi:type="dcterms:W3CDTF">2025-07-11T08:06:58Z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37CA7828462140288A174CFAC6CD208B_11</vt:lpwstr>
  </property>
  <property fmtid="{D5CDD505-2E9C-101B-9397-08002B2CF9AE}" pid="4" name="KSOTemplateDocerSaveRecord">
    <vt:lpwstr>eyJoZGlkIjoiOGI4MzljZTMzOWY4ZTc1MWM5NGY4NjY3OGU5NjcxNGYiLCJ1c2VySWQiOiI2MDgwMzgxNzUifQ==</vt:lpwstr>
  </property>
</Properties>
</file>