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版本号：THXZB2025-104920250716001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徐家湾派出所工程监理项目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THXZB2025-1049</w:t>
      </w:r>
      <w:r>
        <w:br/>
      </w:r>
      <w:r>
        <w:br/>
      </w:r>
      <w:r>
        <w:br/>
      </w:r>
    </w:p>
    <w:p>
      <w:pPr>
        <w:pStyle w:val="null3"/>
        <w:jc w:val="center"/>
        <w:outlineLvl w:val="2"/>
      </w:pPr>
      <w:r>
        <w:rPr>
          <w:rFonts w:ascii="仿宋_GB2312" w:hAnsi="仿宋_GB2312" w:cs="仿宋_GB2312" w:eastAsia="仿宋_GB2312"/>
          <w:sz w:val="28"/>
          <w:b/>
        </w:rPr>
        <w:t>西安市公安局未央分局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西安市公安局未央分局</w:t>
      </w:r>
      <w:r>
        <w:rPr>
          <w:rFonts w:ascii="仿宋_GB2312" w:hAnsi="仿宋_GB2312" w:cs="仿宋_GB2312" w:eastAsia="仿宋_GB2312"/>
        </w:rPr>
        <w:t>委托，拟对</w:t>
      </w:r>
      <w:r>
        <w:rPr>
          <w:rFonts w:ascii="仿宋_GB2312" w:hAnsi="仿宋_GB2312" w:cs="仿宋_GB2312" w:eastAsia="仿宋_GB2312"/>
        </w:rPr>
        <w:t>徐家湾派出所工程监理项目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徐家湾派出所工程监理项目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西安市公安局未央分局徐家湾派出所工程监理项目，工程规模：总建筑面积6340 平方米,其中地上建筑面积3565平方米，地下建筑面积2775平方米，具体为一幢主办公楼，一幢门房，一幢餐厅。同时，配套建设围墙银化、供电、消防、给排水等相关设施。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采购包1（徐家湾派出所工程监理）：属于专门面向中小企业采购。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书及授权书：法定代表人直接参加磋商的须提交法定代表人证明书；法定代表人授权代表参加磋商的，须出具法定代表人证明书及授权书、授权代表本单位的证明（提供磋商截止时间前三个月内任意一个月的养老保险参保缴费证明），供应商需在项目电子化交易系统中按要求上传相应证明文件并进行电子签章。</w:t>
      </w:r>
    </w:p>
    <w:p>
      <w:pPr>
        <w:pStyle w:val="null3"/>
      </w:pPr>
      <w:r>
        <w:rPr>
          <w:rFonts w:ascii="仿宋_GB2312" w:hAnsi="仿宋_GB2312" w:cs="仿宋_GB2312" w:eastAsia="仿宋_GB2312"/>
        </w:rPr>
        <w:t>3、财务状况证明：供应商须提供2024年度经会计师事务所审计的审计报告（新成立企业可从成立当年开始提供相对应的财务报表）或其基本存款账户开户银行出具的资信证明（资信证明开具日期为采购公告发布之日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税收缴纳证明：供应商须提供磋商截止时间前半年内任意一个月的税收缴纳凭证（注：依法免税或零申报的供应商须提供相关文件证明，若为新成立企业可提供相应月度的缴税证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磋商截止时间前半年内任意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没有重大违法记录的书面声明：供应商应具备良好的商业信誉，提供参加政府采购活动前3年内在经营活动中没有重大违法记录的书面声明，（成立时间至提交响应文件载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8、供应商资质：供应商须具备建设行政主管部门颁发的工程监理综合资质或房屋建筑工程监理丙级及以上资质，供应商需在项目电子化交易系统中按要求上传相应证明文件并进行电子签章。</w:t>
      </w:r>
    </w:p>
    <w:p>
      <w:pPr>
        <w:pStyle w:val="null3"/>
      </w:pPr>
      <w:r>
        <w:rPr>
          <w:rFonts w:ascii="仿宋_GB2312" w:hAnsi="仿宋_GB2312" w:cs="仿宋_GB2312" w:eastAsia="仿宋_GB2312"/>
        </w:rPr>
        <w:t>9、项目总监：项目总监须具备房屋建筑工程专业国家注册监理工程师，在本单位注册且无在监理项目，供应商需在项目电子化交易系统中按要求上传相应证明文件并进行电子签章。</w:t>
      </w:r>
    </w:p>
    <w:p>
      <w:pPr>
        <w:pStyle w:val="null3"/>
      </w:pPr>
      <w:r>
        <w:rPr>
          <w:rFonts w:ascii="仿宋_GB2312" w:hAnsi="仿宋_GB2312" w:cs="仿宋_GB2312" w:eastAsia="仿宋_GB2312"/>
        </w:rPr>
        <w:t>10、中小企业声明函：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11、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西安市公安局未央分局经办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18991998666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户名：陕西天鸿信项目管理有限公司未央分公司 账号：129918511410001 开户行：招商银行西安朱雀大街支行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西安市公安局未央分局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西安市公安局未央分局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西安市公安局未央分局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符合相关标准及规定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西安市公安局未央分局徐家湾派出所工程监理项目，工程规模：总建筑面积6340 平方米,其中地上建筑面积3565平方米，地下建筑面积2775平方米，具体为一幢主办公楼，一幢门房，一幢餐厅。同时，配套建设围墙银化、供电、消防、给排水等相关设施。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479,000.00</w:t>
      </w:r>
    </w:p>
    <w:p>
      <w:pPr>
        <w:pStyle w:val="null3"/>
      </w:pPr>
      <w:r>
        <w:rPr>
          <w:rFonts w:ascii="仿宋_GB2312" w:hAnsi="仿宋_GB2312" w:cs="仿宋_GB2312" w:eastAsia="仿宋_GB2312"/>
        </w:rPr>
        <w:t>采购包最高限价（元）: 479,000.00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徐家湾派出所工程监理项目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标的名称：徐家湾派出所工程监理项目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项目概况</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建设地点：</w:t>
            </w:r>
            <w:r>
              <w:rPr>
                <w:rFonts w:ascii="仿宋_GB2312" w:hAnsi="仿宋_GB2312" w:cs="仿宋_GB2312" w:eastAsia="仿宋_GB2312"/>
                <w:sz w:val="21"/>
                <w:color w:val="000000"/>
              </w:rPr>
              <w:t>西安市未央区徐家湾派出所</w:t>
            </w:r>
          </w:p>
          <w:p>
            <w:pPr>
              <w:pStyle w:val="null3"/>
              <w:jc w:val="both"/>
            </w:pPr>
            <w:r>
              <w:rPr>
                <w:rFonts w:ascii="仿宋_GB2312" w:hAnsi="仿宋_GB2312" w:cs="仿宋_GB2312" w:eastAsia="仿宋_GB2312"/>
                <w:sz w:val="21"/>
                <w:color w:val="000000"/>
              </w:rPr>
              <w:t>工程规模：总建</w:t>
            </w:r>
            <w:r>
              <w:rPr>
                <w:rFonts w:ascii="仿宋_GB2312" w:hAnsi="仿宋_GB2312" w:cs="仿宋_GB2312" w:eastAsia="仿宋_GB2312"/>
                <w:sz w:val="21"/>
                <w:color w:val="000000"/>
              </w:rPr>
              <w:t>筑</w:t>
            </w:r>
            <w:r>
              <w:rPr>
                <w:rFonts w:ascii="仿宋_GB2312" w:hAnsi="仿宋_GB2312" w:cs="仿宋_GB2312" w:eastAsia="仿宋_GB2312"/>
                <w:sz w:val="21"/>
                <w:color w:val="000000"/>
              </w:rPr>
              <w:t>面积</w:t>
            </w:r>
            <w:r>
              <w:rPr>
                <w:rFonts w:ascii="仿宋_GB2312" w:hAnsi="仿宋_GB2312" w:cs="仿宋_GB2312" w:eastAsia="仿宋_GB2312"/>
                <w:sz w:val="21"/>
                <w:color w:val="000000"/>
              </w:rPr>
              <w:t>6340 平方米,其中地上建筑面积3565平方米，地下建筑面积2775平方米，具体为一幢主办公楼，一</w:t>
            </w:r>
            <w:r>
              <w:rPr>
                <w:rFonts w:ascii="仿宋_GB2312" w:hAnsi="仿宋_GB2312" w:cs="仿宋_GB2312" w:eastAsia="仿宋_GB2312"/>
                <w:sz w:val="21"/>
                <w:color w:val="000000"/>
              </w:rPr>
              <w:t>幢</w:t>
            </w:r>
            <w:r>
              <w:rPr>
                <w:rFonts w:ascii="仿宋_GB2312" w:hAnsi="仿宋_GB2312" w:cs="仿宋_GB2312" w:eastAsia="仿宋_GB2312"/>
                <w:sz w:val="21"/>
                <w:color w:val="000000"/>
              </w:rPr>
              <w:t>门房</w:t>
            </w: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幢</w:t>
            </w:r>
            <w:r>
              <w:rPr>
                <w:rFonts w:ascii="仿宋_GB2312" w:hAnsi="仿宋_GB2312" w:cs="仿宋_GB2312" w:eastAsia="仿宋_GB2312"/>
                <w:sz w:val="21"/>
                <w:color w:val="000000"/>
              </w:rPr>
              <w:t>餐厅。同时，配套建设围墙银化、供电、消防、给排水等相关</w:t>
            </w:r>
            <w:r>
              <w:rPr>
                <w:rFonts w:ascii="仿宋_GB2312" w:hAnsi="仿宋_GB2312" w:cs="仿宋_GB2312" w:eastAsia="仿宋_GB2312"/>
                <w:sz w:val="21"/>
                <w:color w:val="000000"/>
              </w:rPr>
              <w:t>设施。</w:t>
            </w:r>
          </w:p>
          <w:p>
            <w:pPr>
              <w:pStyle w:val="null3"/>
              <w:jc w:val="both"/>
            </w:pPr>
            <w:r>
              <w:rPr>
                <w:rFonts w:ascii="仿宋_GB2312" w:hAnsi="仿宋_GB2312" w:cs="仿宋_GB2312" w:eastAsia="仿宋_GB2312"/>
                <w:sz w:val="21"/>
                <w:color w:val="000000"/>
              </w:rPr>
              <w:t>工程监理服务期：</w:t>
            </w:r>
            <w:r>
              <w:rPr>
                <w:rFonts w:ascii="仿宋_GB2312" w:hAnsi="仿宋_GB2312" w:cs="仿宋_GB2312" w:eastAsia="仿宋_GB2312"/>
                <w:sz w:val="21"/>
                <w:color w:val="000000"/>
              </w:rPr>
              <w:t>12个月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监理范围及内容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本次招标所有工程的监理工作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监理依据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采购人</w:t>
            </w:r>
            <w:r>
              <w:rPr>
                <w:rFonts w:ascii="仿宋_GB2312" w:hAnsi="仿宋_GB2312" w:cs="仿宋_GB2312" w:eastAsia="仿宋_GB2312"/>
                <w:sz w:val="21"/>
              </w:rPr>
              <w:t>与监理人签订的监理委托合同书中有关监理职责权力的条款；建设单位与工程总承包单位签订的合同文件（包括招标文件和投标文件）中关于质量、工期、费用和有关条款的规定及承诺。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2）经</w:t>
            </w:r>
            <w:r>
              <w:rPr>
                <w:rFonts w:ascii="仿宋_GB2312" w:hAnsi="仿宋_GB2312" w:cs="仿宋_GB2312" w:eastAsia="仿宋_GB2312"/>
                <w:sz w:val="21"/>
              </w:rPr>
              <w:t>采购人</w:t>
            </w:r>
            <w:r>
              <w:rPr>
                <w:rFonts w:ascii="仿宋_GB2312" w:hAnsi="仿宋_GB2312" w:cs="仿宋_GB2312" w:eastAsia="仿宋_GB2312"/>
                <w:sz w:val="21"/>
              </w:rPr>
              <w:t>批准或认可的的设计文件、施工图纸、技术要求及与本项目相关的基础资料。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3）国家颁布的有关工程建设法规及政府部门批准的建设计划、规划。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4）国家及行业颁布的规范、技术标准及结合本项目专门编制的技术规程、规定等。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5）合同执行期间，监理工程师与</w:t>
            </w:r>
            <w:r>
              <w:rPr>
                <w:rFonts w:ascii="仿宋_GB2312" w:hAnsi="仿宋_GB2312" w:cs="仿宋_GB2312" w:eastAsia="仿宋_GB2312"/>
                <w:sz w:val="21"/>
              </w:rPr>
              <w:t>采购人</w:t>
            </w:r>
            <w:r>
              <w:rPr>
                <w:rFonts w:ascii="仿宋_GB2312" w:hAnsi="仿宋_GB2312" w:cs="仿宋_GB2312" w:eastAsia="仿宋_GB2312"/>
                <w:sz w:val="21"/>
              </w:rPr>
              <w:t>、监理人之间有关工程实施的会议纪要、函件及监理工程师批准的施工方案、技术方案、洽商记录和监理工程师发出的指令、签认的报表等。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6）经过监理工程师及甲方批准的工程变更和设计变更的图纸、质量要求、工程数量以及实施过程上有关费用、工期等有关问题的会议纪要。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采购人</w:t>
            </w:r>
            <w:r>
              <w:rPr>
                <w:rFonts w:ascii="仿宋_GB2312" w:hAnsi="仿宋_GB2312" w:cs="仿宋_GB2312" w:eastAsia="仿宋_GB2312"/>
                <w:sz w:val="21"/>
              </w:rPr>
              <w:t>发出的不违反监理合同及相关法律法规的指令。</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适用标准规范</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《建设工程监理规范》（</w:t>
            </w:r>
            <w:r>
              <w:rPr>
                <w:rFonts w:ascii="仿宋_GB2312" w:hAnsi="仿宋_GB2312" w:cs="仿宋_GB2312" w:eastAsia="仿宋_GB2312"/>
                <w:sz w:val="21"/>
              </w:rPr>
              <w:t>GB 50319-2013）。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除合同另有约定外，本工程适用现行国家、省、市、行业和地方规范、标准和规程。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规范、标准和规程如发生不一致时，则以要求最为严格的规范、规程或标准作为工作依据。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在合同履行期间，监理人应满足</w:t>
            </w:r>
            <w:r>
              <w:rPr>
                <w:rFonts w:ascii="仿宋_GB2312" w:hAnsi="仿宋_GB2312" w:cs="仿宋_GB2312" w:eastAsia="仿宋_GB2312"/>
                <w:sz w:val="21"/>
              </w:rPr>
              <w:t>采购人</w:t>
            </w:r>
            <w:r>
              <w:rPr>
                <w:rFonts w:ascii="仿宋_GB2312" w:hAnsi="仿宋_GB2312" w:cs="仿宋_GB2312" w:eastAsia="仿宋_GB2312"/>
                <w:sz w:val="21"/>
              </w:rPr>
              <w:t>的特定技术要求，满足设计要求，满足陕西省及西安市的有关强制性规定；监理人应严格执行中华人民共和国强制性标准，执行现行的或即将颁布的行业标准、规范；如有新颁国家标准及行业标准、规范，</w:t>
            </w:r>
            <w:r>
              <w:rPr>
                <w:rFonts w:ascii="仿宋_GB2312" w:hAnsi="仿宋_GB2312" w:cs="仿宋_GB2312" w:eastAsia="仿宋_GB2312"/>
                <w:sz w:val="21"/>
              </w:rPr>
              <w:t>采购人</w:t>
            </w:r>
            <w:r>
              <w:rPr>
                <w:rFonts w:ascii="仿宋_GB2312" w:hAnsi="仿宋_GB2312" w:cs="仿宋_GB2312" w:eastAsia="仿宋_GB2312"/>
                <w:sz w:val="21"/>
              </w:rPr>
              <w:t>指令执行时，监理人应当执行。</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成果文件要求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监理人应按照陕西《建筑工程资料管理规程》</w:t>
            </w:r>
            <w:r>
              <w:rPr>
                <w:rFonts w:ascii="仿宋_GB2312" w:hAnsi="仿宋_GB2312" w:cs="仿宋_GB2312" w:eastAsia="仿宋_GB2312"/>
                <w:sz w:val="21"/>
              </w:rPr>
              <w:t>T/SCIA-2020及档案馆的相关要求，编制两套监理资料，监理文件组卷装订幅面A4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监理人应按照陕西《建筑工程资料管理规程》</w:t>
            </w:r>
            <w:r>
              <w:rPr>
                <w:rFonts w:ascii="仿宋_GB2312" w:hAnsi="仿宋_GB2312" w:cs="仿宋_GB2312" w:eastAsia="仿宋_GB2312"/>
                <w:sz w:val="21"/>
              </w:rPr>
              <w:t>T/SCIA-2020及西安市档案馆的相关要求，编制一套监理资料。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监理人编制及提交的监理资料的费用承担：由监理人承担。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监理人提交的监理资料移交时间：竣工验收合格后</w:t>
            </w:r>
            <w:r>
              <w:rPr>
                <w:rFonts w:ascii="仿宋_GB2312" w:hAnsi="仿宋_GB2312" w:cs="仿宋_GB2312" w:eastAsia="仿宋_GB2312"/>
                <w:sz w:val="21"/>
              </w:rPr>
              <w:t>30日内。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符合相关标准及规定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合同签订后支付合同暂定合同价格的20%作为预付款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±0.000施工完成通过验收后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主体封顶，通过验收后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待工程竣工验收合格相关资料移交后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合同金额的3%作为质量保证金，监理质保期二年满无息支付余款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详见合同条款，本合同在履行过程中发生的争议，由甲、乙双方当事人协商解决，协商不成的，向甲方所在地人民法院提起诉讼。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1、本项目所属行业为：其他未列明行业。从业人员300人以下的为中小微型企业。其中，从业 人员100人及以上的为中型企业；从业人员10人及以上的为小型企业；从业人员10人以下的为微型企业。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供应商需在项目电子化交易系统中按要求响应《中华人民共和国政府采购法》第二十二条规定或填写《基本资格条件承诺函》完成承诺并进行电子签章。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供应商需在项目电子化交易系统中按要求响应《中华人民共和国政府采购法》第二十二条规定或填写《基本资格条件承诺函》完成承诺并进行电子签章。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供应商需在项目电子化交易系统中按要求响应完成承诺并进行电子签章。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参加磋商的须提交法定代表人证明书；法定代表人授权代表参加磋商的，须出具法定代表人证明书及授权书、授权代表本单位的证明（提供磋商截止时间前三个月内任意一个月的养老保险参保缴费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半年内任意一个月的税收缴纳凭证（注：依法免税或零申报的供应商须提供相关文件证明，若为新成立企业可提供相应月度的缴税证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前半年内任意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成立时间至提交响应文件载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供应商须具备建设行政主管部门颁发的工程监理综合资质或房屋建筑工程监理丙级及以上资质，供应商需在项目电子化交易系统中按要求上传相应证明文件并进行电子签章。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项目总监须具备房屋建筑工程专业国家注册监理工程师，在本单位注册且无在监理项目，供应商需在项目电子化交易系统中按要求上传相应证明文件并进行电子签章。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供应商特定资格证明文件.docx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供应商特定资格证明文件.docx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监理工作程序、监理工作制度及依据</w:t>
            </w:r>
          </w:p>
        </w:tc>
        <w:tc>
          <w:tcPr>
            <w:tcW w:type="dxa" w:w="2492"/>
          </w:tcPr>
          <w:p>
            <w:pPr>
              <w:pStyle w:val="null3"/>
            </w:pPr>
            <w:r>
              <w:rPr>
                <w:rFonts w:ascii="仿宋_GB2312" w:hAnsi="仿宋_GB2312" w:cs="仿宋_GB2312" w:eastAsia="仿宋_GB2312"/>
              </w:rPr>
              <w:t>针对本项目提供监理工作程序和工作制度及依据。 1.监理工作程序和工作制度及依据具体可行、科学合理，有清晰的监理工作流程图、监理工作准则及依据，且可操作性、针对性强的得5-6分； 2.监理工作程序和工作制度较具体可行、科学合理，有监理工作流程图、监理工作准则，可操作性、针对性较强的得3-5分； 3.监理工作程序和工作制度内容简单，可操作性或针对性一般的，得1-3分；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磋商响应方案-监理工作程序、监理工作制度及依据.docx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针对本项目制定明确的质量控制管理目标，提供具体可行的质量控制措施。 1.质量控制目标清晰、明确，质量控制措施科学合理、具体详细，贴近项目情况、针对性强的得5-6分； 2.质量控制目标较清晰、明确，质量控制措施较科学合理、具体详细，基本贴近项目情况、针对性较强的得3-5分； 3.质量控制目标及措施不完善，针对性一般的得1-3分；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磋商响应方案-质量控制管理措施.docx</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针对本项目制定明确的进度控制目标，提供具体可行的进度控制措施，有工期优化和补救措施。 1.进度控制目标清晰、明确，进度控制措施科学合理、具体详细，贴近项目情况、针对性强的得5-6分； 2.进度控制目标较清晰、明确，进度控制措施较科学合理、具体详细，基本贴近项目情况、针对性较强的得3-5分； 3.进度控制目标及措施不完善，提供内容简单有欠缺，或未贴合实际针对性不强的得1-3分；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磋商响应方案-进度控制管理措施.docx</w:t>
            </w:r>
          </w:p>
        </w:tc>
      </w:tr>
      <w:tr>
        <w:tc>
          <w:tcPr>
            <w:tcW w:type="dxa" w:w="831"/>
            <w:vMerge/>
          </w:tcPr>
          <w:p/>
        </w:tc>
        <w:tc>
          <w:tcPr>
            <w:tcW w:type="dxa" w:w="1661"/>
          </w:tcPr>
          <w:p>
            <w:pPr>
              <w:pStyle w:val="null3"/>
            </w:pPr>
            <w:r>
              <w:rPr>
                <w:rFonts w:ascii="仿宋_GB2312" w:hAnsi="仿宋_GB2312" w:cs="仿宋_GB2312" w:eastAsia="仿宋_GB2312"/>
              </w:rPr>
              <w:t>施工安全监督管理措施</w:t>
            </w:r>
          </w:p>
        </w:tc>
        <w:tc>
          <w:tcPr>
            <w:tcW w:type="dxa" w:w="2492"/>
          </w:tcPr>
          <w:p>
            <w:pPr>
              <w:pStyle w:val="null3"/>
            </w:pPr>
            <w:r>
              <w:rPr>
                <w:rFonts w:ascii="仿宋_GB2312" w:hAnsi="仿宋_GB2312" w:cs="仿宋_GB2312" w:eastAsia="仿宋_GB2312"/>
              </w:rPr>
              <w:t>针对本项目制定明确的施工安全监督管理措施。 1.措施符合项目实际情况及实施要求，内容详尽且涵盖角度全面，可行性强，能够保障项目顺利实施的得5-6分； 2.措施基本符合项目实际情况及实施要求，内容较详细，涵盖角度较全面，基本合理可行的得3-5分； 3.措施不够符合项目实际情况及实施要求，内容涵盖角度不够全面且实施有难度的得1-3分；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磋商响应方案-施工安全监督管理措施.docx</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针对本项目制定明确的投资控制目标，提供具体可行的投资控制措施，有造价风险分析和防索赔措施。 1.投资控制目标清晰、明确，投资控制措施科学合理、具体详细，贴近项目情况、针对性强的得5-6分； 2.投资控制目标较清晰、明确，投资控制措施较科学合理、具体详细，基本贴近项目情况、针对性较强的得3-5分； 3.投资控制目标及措施不完善，针对性、合理性不强的得1-3分；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磋商响应方案-投资控制管理措施.docx</w:t>
            </w:r>
          </w:p>
        </w:tc>
      </w:tr>
      <w:tr>
        <w:tc>
          <w:tcPr>
            <w:tcW w:type="dxa" w:w="831"/>
            <w:vMerge/>
          </w:tcPr>
          <w:p/>
        </w:tc>
        <w:tc>
          <w:tcPr>
            <w:tcW w:type="dxa" w:w="1661"/>
          </w:tcPr>
          <w:p>
            <w:pPr>
              <w:pStyle w:val="null3"/>
            </w:pPr>
            <w:r>
              <w:rPr>
                <w:rFonts w:ascii="仿宋_GB2312" w:hAnsi="仿宋_GB2312" w:cs="仿宋_GB2312" w:eastAsia="仿宋_GB2312"/>
              </w:rPr>
              <w:t>文明施工、环境保护、治污减霾监督管理措施</w:t>
            </w:r>
          </w:p>
        </w:tc>
        <w:tc>
          <w:tcPr>
            <w:tcW w:type="dxa" w:w="2492"/>
          </w:tcPr>
          <w:p>
            <w:pPr>
              <w:pStyle w:val="null3"/>
            </w:pPr>
            <w:r>
              <w:rPr>
                <w:rFonts w:ascii="仿宋_GB2312" w:hAnsi="仿宋_GB2312" w:cs="仿宋_GB2312" w:eastAsia="仿宋_GB2312"/>
              </w:rPr>
              <w:t>针对本项目制定安全文明施工及治污减霾监督管理措施。 1.措施科学合理、具体详细，贴近项目情况、针对性强的得5-6分； 2.措施较科学合理、具体详细，基本贴近项目情况、针对性较强的得3-5分； 3.措施不完善，内容有欠缺，实际针对性不强的得1-3分；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磋商响应方案-文明施工、环境保护、治污减霾监督管理措施.docx</w:t>
            </w:r>
          </w:p>
        </w:tc>
      </w:tr>
      <w:tr>
        <w:tc>
          <w:tcPr>
            <w:tcW w:type="dxa" w:w="831"/>
            <w:vMerge/>
          </w:tcPr>
          <w:p/>
        </w:tc>
        <w:tc>
          <w:tcPr>
            <w:tcW w:type="dxa" w:w="1661"/>
          </w:tcPr>
          <w:p>
            <w:pPr>
              <w:pStyle w:val="null3"/>
            </w:pPr>
            <w:r>
              <w:rPr>
                <w:rFonts w:ascii="仿宋_GB2312" w:hAnsi="仿宋_GB2312" w:cs="仿宋_GB2312" w:eastAsia="仿宋_GB2312"/>
              </w:rPr>
              <w:t>信息、合同方面协调管理措施</w:t>
            </w:r>
          </w:p>
        </w:tc>
        <w:tc>
          <w:tcPr>
            <w:tcW w:type="dxa" w:w="2492"/>
          </w:tcPr>
          <w:p>
            <w:pPr>
              <w:pStyle w:val="null3"/>
            </w:pPr>
            <w:r>
              <w:rPr>
                <w:rFonts w:ascii="仿宋_GB2312" w:hAnsi="仿宋_GB2312" w:cs="仿宋_GB2312" w:eastAsia="仿宋_GB2312"/>
              </w:rPr>
              <w:t>针对本项目提供具体可行、科学合理的合同管理、信息管理措施。 1.合同和信息管理措施科学合理、具体详细，贴近项目情况、针对性强的得3-5分； 2.合同和信息管理措施较科学合理、具体详细，基本贴近项目情况、针对性较强的得2-3分； 3.合同和信息管理措施不完善，内容简单有欠缺，实际针对性不强的得1-2分；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磋商响应方案-信息、合同方面协调管理措施.docx</w:t>
            </w:r>
          </w:p>
        </w:tc>
      </w:tr>
      <w:tr>
        <w:tc>
          <w:tcPr>
            <w:tcW w:type="dxa" w:w="831"/>
            <w:vMerge/>
          </w:tcPr>
          <w:p/>
        </w:tc>
        <w:tc>
          <w:tcPr>
            <w:tcW w:type="dxa" w:w="1661"/>
          </w:tcPr>
          <w:p>
            <w:pPr>
              <w:pStyle w:val="null3"/>
            </w:pPr>
            <w:r>
              <w:rPr>
                <w:rFonts w:ascii="仿宋_GB2312" w:hAnsi="仿宋_GB2312" w:cs="仿宋_GB2312" w:eastAsia="仿宋_GB2312"/>
              </w:rPr>
              <w:t>监理资料的管理及保修阶段的服务工作</w:t>
            </w:r>
          </w:p>
        </w:tc>
        <w:tc>
          <w:tcPr>
            <w:tcW w:type="dxa" w:w="2492"/>
          </w:tcPr>
          <w:p>
            <w:pPr>
              <w:pStyle w:val="null3"/>
            </w:pPr>
            <w:r>
              <w:rPr>
                <w:rFonts w:ascii="仿宋_GB2312" w:hAnsi="仿宋_GB2312" w:cs="仿宋_GB2312" w:eastAsia="仿宋_GB2312"/>
              </w:rPr>
              <w:t>针对本项目提供具体可行、科学合理的监理资料的管理及保修阶段的服务工作方案及措施。 1.资料管理科学、严谨、高效，保修阶段服务工作科学合理且能够保障项目顺利实施的得3-5分； 2.资料管理一般、保修阶段服务工作有一定的合理性和可行性的、基本符合项目实际情况及实施要求得2-3分； 3.资料管理不全面且实施有难度的得1-2分；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磋商响应方案-监理资料的管理及保修阶段的服务工作.docx</w:t>
            </w:r>
          </w:p>
        </w:tc>
      </w:tr>
      <w:tr>
        <w:tc>
          <w:tcPr>
            <w:tcW w:type="dxa" w:w="831"/>
            <w:vMerge/>
          </w:tcPr>
          <w:p/>
        </w:tc>
        <w:tc>
          <w:tcPr>
            <w:tcW w:type="dxa" w:w="1661"/>
          </w:tcPr>
          <w:p>
            <w:pPr>
              <w:pStyle w:val="null3"/>
            </w:pPr>
            <w:r>
              <w:rPr>
                <w:rFonts w:ascii="仿宋_GB2312" w:hAnsi="仿宋_GB2312" w:cs="仿宋_GB2312" w:eastAsia="仿宋_GB2312"/>
              </w:rPr>
              <w:t>拟投入本项目的检测仪器设备情况</w:t>
            </w:r>
          </w:p>
        </w:tc>
        <w:tc>
          <w:tcPr>
            <w:tcW w:type="dxa" w:w="2492"/>
          </w:tcPr>
          <w:p>
            <w:pPr>
              <w:pStyle w:val="null3"/>
            </w:pPr>
            <w:r>
              <w:rPr>
                <w:rFonts w:ascii="仿宋_GB2312" w:hAnsi="仿宋_GB2312" w:cs="仿宋_GB2312" w:eastAsia="仿宋_GB2312"/>
              </w:rPr>
              <w:t>针对本项目提供监理检测设备配置情况。 1.检测设备配置齐全、先进，响应文件中能够体现规格型号、制造年份等信息，完全满足工程检测要求的得3-5分； 2.检测设备配置较齐全，响应文件中能够体现或体现不全检测设备的规格型号、制造年份等信息，配置基本满足监测要求的得2-3分； 3.响应文件中的检测设备信息不详细，较简单，检测设备配置不能完全满足工程检测要求的得1-2分；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磋商响应方案-拟投入本项目的检测仪器设备情况.docx</w:t>
            </w:r>
          </w:p>
        </w:tc>
      </w:tr>
      <w:tr>
        <w:tc>
          <w:tcPr>
            <w:tcW w:type="dxa" w:w="831"/>
            <w:vMerge/>
          </w:tcPr>
          <w:p/>
        </w:tc>
        <w:tc>
          <w:tcPr>
            <w:tcW w:type="dxa" w:w="1661"/>
          </w:tcPr>
          <w:p>
            <w:pPr>
              <w:pStyle w:val="null3"/>
            </w:pPr>
            <w:r>
              <w:rPr>
                <w:rFonts w:ascii="仿宋_GB2312" w:hAnsi="仿宋_GB2312" w:cs="仿宋_GB2312" w:eastAsia="仿宋_GB2312"/>
              </w:rPr>
              <w:t>监理人员团队</w:t>
            </w:r>
          </w:p>
        </w:tc>
        <w:tc>
          <w:tcPr>
            <w:tcW w:type="dxa" w:w="2492"/>
          </w:tcPr>
          <w:p>
            <w:pPr>
              <w:pStyle w:val="null3"/>
            </w:pPr>
            <w:r>
              <w:rPr>
                <w:rFonts w:ascii="仿宋_GB2312" w:hAnsi="仿宋_GB2312" w:cs="仿宋_GB2312" w:eastAsia="仿宋_GB2312"/>
              </w:rPr>
              <w:t>针对本项目提供项目监理机构及人员团队说明。 1.监理机构及人员配置合理、清晰，岗位设置合理科学，完全匹配项目，符合采购内容及要求的得3-5分； 2.监理机构及人员配置不够清晰，岗位设置合理性一般，基本符合采购内容及要求的得2-3分； 3.监理机构及人员配置不清晰，岗位设置不合理，很难符合采购内容及要求的得1-2分；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供应商需要说明的其他内容.docx</w:t>
            </w:r>
          </w:p>
          <w:p>
            <w:pPr>
              <w:pStyle w:val="null3"/>
            </w:pPr>
            <w:r>
              <w:rPr>
                <w:rFonts w:ascii="仿宋_GB2312" w:hAnsi="仿宋_GB2312" w:cs="仿宋_GB2312" w:eastAsia="仿宋_GB2312"/>
              </w:rPr>
              <w:t>磋商响应方案-监理人员团队.docx</w:t>
            </w:r>
          </w:p>
        </w:tc>
      </w:tr>
      <w:tr>
        <w:tc>
          <w:tcPr>
            <w:tcW w:type="dxa" w:w="831"/>
            <w:vMerge/>
          </w:tcPr>
          <w:p/>
        </w:tc>
        <w:tc>
          <w:tcPr>
            <w:tcW w:type="dxa" w:w="1661"/>
          </w:tcPr>
          <w:p>
            <w:pPr>
              <w:pStyle w:val="null3"/>
            </w:pPr>
            <w:r>
              <w:rPr>
                <w:rFonts w:ascii="仿宋_GB2312" w:hAnsi="仿宋_GB2312" w:cs="仿宋_GB2312" w:eastAsia="仿宋_GB2312"/>
              </w:rPr>
              <w:t>保密及廉洁措施</w:t>
            </w:r>
          </w:p>
        </w:tc>
        <w:tc>
          <w:tcPr>
            <w:tcW w:type="dxa" w:w="2492"/>
          </w:tcPr>
          <w:p>
            <w:pPr>
              <w:pStyle w:val="null3"/>
            </w:pPr>
            <w:r>
              <w:rPr>
                <w:rFonts w:ascii="仿宋_GB2312" w:hAnsi="仿宋_GB2312" w:cs="仿宋_GB2312" w:eastAsia="仿宋_GB2312"/>
              </w:rPr>
              <w:t>供应商针对本项目提供保密及廉洁措施。 1.措施内容详细完整，有利于项目实施的得2-3分； 2.措施内容简单笼统，很难满足本项目需求的得1-2分。 3.未提供的不得分。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磋商响应方案-保密及廉洁措施.docx</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供应商针对本项目提供合理化建议及增值服务。 1.合理化建议及增值服务合理可行且针对性强的得2-3分； 2.合理化建议及增值服务简单有欠缺，或未贴合实际针对性不强的得1-2分； 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磋商响应方案-合理化建议及增值服务.docx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供应商2020年1月1日至今，类似项目业绩，每提供1份得2分，最高得6分。 注：以合同签订日期为准，须提供完整的监理合同复印件并加盖供应商公章，否则不计分。类似业绩指房屋建筑工程监理的业绩。</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拟派项目总监业绩</w:t>
            </w:r>
          </w:p>
        </w:tc>
        <w:tc>
          <w:tcPr>
            <w:tcW w:type="dxa" w:w="2492"/>
          </w:tcPr>
          <w:p>
            <w:pPr>
              <w:pStyle w:val="null3"/>
            </w:pPr>
            <w:r>
              <w:rPr>
                <w:rFonts w:ascii="仿宋_GB2312" w:hAnsi="仿宋_GB2312" w:cs="仿宋_GB2312" w:eastAsia="仿宋_GB2312"/>
              </w:rPr>
              <w:t>拟派项目总监2020年1月1日至今承担过类似的建筑工程监理业绩，每提供1份得2分，最高得2分。 注：1.总监业绩证明材料须提供监理合同复印件，时间以合同签订时间为准；2.总监业绩以合同中能显示总监姓名为准。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拟派项目总监业绩.docx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详见附件：磋商响应方案-监理工作程序、监理工作制度及依据.docx</w:t>
      </w:r>
    </w:p>
    <w:p>
      <w:pPr>
        <w:pStyle w:val="null3"/>
        <w:ind w:firstLine="960"/>
      </w:pPr>
      <w:r>
        <w:rPr>
          <w:rFonts w:ascii="仿宋_GB2312" w:hAnsi="仿宋_GB2312" w:cs="仿宋_GB2312" w:eastAsia="仿宋_GB2312"/>
        </w:rPr>
        <w:t>详见附件：磋商响应方案-质量控制管理措施.docx</w:t>
      </w:r>
    </w:p>
    <w:p>
      <w:pPr>
        <w:pStyle w:val="null3"/>
        <w:ind w:firstLine="960"/>
      </w:pPr>
      <w:r>
        <w:rPr>
          <w:rFonts w:ascii="仿宋_GB2312" w:hAnsi="仿宋_GB2312" w:cs="仿宋_GB2312" w:eastAsia="仿宋_GB2312"/>
        </w:rPr>
        <w:t>详见附件：磋商响应方案-进度控制管理措施.docx</w:t>
      </w:r>
    </w:p>
    <w:p>
      <w:pPr>
        <w:pStyle w:val="null3"/>
        <w:ind w:firstLine="960"/>
      </w:pPr>
      <w:r>
        <w:rPr>
          <w:rFonts w:ascii="仿宋_GB2312" w:hAnsi="仿宋_GB2312" w:cs="仿宋_GB2312" w:eastAsia="仿宋_GB2312"/>
        </w:rPr>
        <w:t>详见附件：磋商响应方案-施工安全监督管理措施.docx</w:t>
      </w:r>
    </w:p>
    <w:p>
      <w:pPr>
        <w:pStyle w:val="null3"/>
        <w:ind w:firstLine="960"/>
      </w:pPr>
      <w:r>
        <w:rPr>
          <w:rFonts w:ascii="仿宋_GB2312" w:hAnsi="仿宋_GB2312" w:cs="仿宋_GB2312" w:eastAsia="仿宋_GB2312"/>
        </w:rPr>
        <w:t>详见附件：磋商响应方案-投资控制管理措施.docx</w:t>
      </w:r>
    </w:p>
    <w:p>
      <w:pPr>
        <w:pStyle w:val="null3"/>
        <w:ind w:firstLine="960"/>
      </w:pPr>
      <w:r>
        <w:rPr>
          <w:rFonts w:ascii="仿宋_GB2312" w:hAnsi="仿宋_GB2312" w:cs="仿宋_GB2312" w:eastAsia="仿宋_GB2312"/>
        </w:rPr>
        <w:t>详见附件：磋商响应方案-文明施工、环境保护、治污减霾监督管理措施.docx</w:t>
      </w:r>
    </w:p>
    <w:p>
      <w:pPr>
        <w:pStyle w:val="null3"/>
        <w:ind w:firstLine="960"/>
      </w:pPr>
      <w:r>
        <w:rPr>
          <w:rFonts w:ascii="仿宋_GB2312" w:hAnsi="仿宋_GB2312" w:cs="仿宋_GB2312" w:eastAsia="仿宋_GB2312"/>
        </w:rPr>
        <w:t>详见附件：磋商响应方案-信息、合同方面协调管理措施.docx</w:t>
      </w:r>
    </w:p>
    <w:p>
      <w:pPr>
        <w:pStyle w:val="null3"/>
        <w:ind w:firstLine="960"/>
      </w:pPr>
      <w:r>
        <w:rPr>
          <w:rFonts w:ascii="仿宋_GB2312" w:hAnsi="仿宋_GB2312" w:cs="仿宋_GB2312" w:eastAsia="仿宋_GB2312"/>
        </w:rPr>
        <w:t>详见附件：磋商响应方案-监理资料的管理及保修阶段的服务工作.docx</w:t>
      </w:r>
    </w:p>
    <w:p>
      <w:pPr>
        <w:pStyle w:val="null3"/>
        <w:ind w:firstLine="960"/>
      </w:pPr>
      <w:r>
        <w:rPr>
          <w:rFonts w:ascii="仿宋_GB2312" w:hAnsi="仿宋_GB2312" w:cs="仿宋_GB2312" w:eastAsia="仿宋_GB2312"/>
        </w:rPr>
        <w:t>详见附件：磋商响应方案-拟投入本项目的检测仪器设备情况.docx</w:t>
      </w:r>
    </w:p>
    <w:p>
      <w:pPr>
        <w:pStyle w:val="null3"/>
        <w:ind w:firstLine="960"/>
      </w:pPr>
      <w:r>
        <w:rPr>
          <w:rFonts w:ascii="仿宋_GB2312" w:hAnsi="仿宋_GB2312" w:cs="仿宋_GB2312" w:eastAsia="仿宋_GB2312"/>
        </w:rPr>
        <w:t>详见附件：磋商响应方案-监理人员团队.docx</w:t>
      </w:r>
    </w:p>
    <w:p>
      <w:pPr>
        <w:pStyle w:val="null3"/>
        <w:ind w:firstLine="960"/>
      </w:pPr>
      <w:r>
        <w:rPr>
          <w:rFonts w:ascii="仿宋_GB2312" w:hAnsi="仿宋_GB2312" w:cs="仿宋_GB2312" w:eastAsia="仿宋_GB2312"/>
        </w:rPr>
        <w:t>详见附件：磋商响应方案-保密及廉洁措施.docx</w:t>
      </w:r>
    </w:p>
    <w:p>
      <w:pPr>
        <w:pStyle w:val="null3"/>
        <w:ind w:firstLine="960"/>
      </w:pPr>
      <w:r>
        <w:rPr>
          <w:rFonts w:ascii="仿宋_GB2312" w:hAnsi="仿宋_GB2312" w:cs="仿宋_GB2312" w:eastAsia="仿宋_GB2312"/>
        </w:rPr>
        <w:t>详见附件：磋商响应方案-合理化建议及增值服务.docx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详见附件：拟派项目总监业绩.docx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