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6D9A7">
      <w:pPr>
        <w:adjustRightInd w:val="0"/>
        <w:snapToGrid w:val="0"/>
        <w:spacing w:line="360" w:lineRule="auto"/>
        <w:jc w:val="center"/>
        <w:rPr>
          <w:rFonts w:hint="eastAsia" w:ascii="宋体" w:hAnsi="宋体" w:eastAsia="宋体" w:cs="宋体"/>
          <w:color w:val="auto"/>
        </w:rPr>
      </w:pPr>
      <w:r>
        <w:rPr>
          <w:rFonts w:hint="eastAsia" w:ascii="宋体" w:hAnsi="宋体" w:eastAsia="宋体" w:cs="宋体"/>
          <w:b/>
          <w:bCs/>
          <w:i w:val="0"/>
          <w:iCs w:val="0"/>
          <w:caps w:val="0"/>
          <w:color w:val="auto"/>
          <w:spacing w:val="0"/>
          <w:sz w:val="39"/>
          <w:szCs w:val="39"/>
          <w:shd w:val="clear" w:fill="FFFFFF"/>
        </w:rPr>
        <w:t>拟签订采购合同文本</w:t>
      </w:r>
    </w:p>
    <w:p w14:paraId="32CB32D8">
      <w:pPr>
        <w:adjustRightInd w:val="0"/>
        <w:snapToGrid w:val="0"/>
        <w:spacing w:line="360" w:lineRule="auto"/>
        <w:jc w:val="center"/>
        <w:rPr>
          <w:rFonts w:hint="eastAsia" w:ascii="宋体" w:hAnsi="宋体" w:eastAsia="宋体" w:cs="宋体"/>
          <w:color w:val="auto"/>
        </w:rPr>
      </w:pPr>
    </w:p>
    <w:p w14:paraId="5EEEA286">
      <w:pPr>
        <w:adjustRightInd w:val="0"/>
        <w:snapToGrid w:val="0"/>
        <w:spacing w:line="360" w:lineRule="auto"/>
        <w:jc w:val="center"/>
        <w:rPr>
          <w:rFonts w:hint="eastAsia" w:ascii="宋体" w:hAnsi="宋体" w:eastAsia="宋体" w:cs="宋体"/>
          <w:color w:val="auto"/>
        </w:rPr>
      </w:pPr>
    </w:p>
    <w:p w14:paraId="2DE7B36B">
      <w:pPr>
        <w:adjustRightInd w:val="0"/>
        <w:snapToGrid w:val="0"/>
        <w:spacing w:line="360" w:lineRule="auto"/>
        <w:jc w:val="center"/>
        <w:rPr>
          <w:rFonts w:hint="eastAsia" w:ascii="仿宋" w:hAnsi="仿宋" w:eastAsia="仿宋" w:cs="仿宋"/>
          <w:b/>
          <w:bCs/>
          <w:color w:val="auto"/>
          <w:sz w:val="56"/>
          <w:szCs w:val="56"/>
          <w:highlight w:val="none"/>
          <w:lang w:val="en-US" w:eastAsia="zh-CN"/>
        </w:rPr>
      </w:pPr>
    </w:p>
    <w:p w14:paraId="3C9CC02D">
      <w:pPr>
        <w:adjustRightInd w:val="0"/>
        <w:snapToGrid w:val="0"/>
        <w:spacing w:line="360" w:lineRule="auto"/>
        <w:jc w:val="center"/>
        <w:outlineLvl w:val="0"/>
        <w:rPr>
          <w:rFonts w:hint="eastAsia" w:ascii="宋体" w:hAnsi="宋体" w:eastAsia="宋体" w:cs="宋体"/>
          <w:b/>
          <w:bCs/>
          <w:color w:val="auto"/>
          <w:sz w:val="52"/>
          <w:szCs w:val="52"/>
          <w:highlight w:val="none"/>
        </w:rPr>
      </w:pPr>
      <w:bookmarkStart w:id="0" w:name="_Toc10750"/>
      <w:r>
        <w:rPr>
          <w:rFonts w:hint="eastAsia" w:ascii="宋体" w:hAnsi="宋体" w:eastAsia="宋体" w:cs="宋体"/>
          <w:b/>
          <w:bCs/>
          <w:color w:val="auto"/>
          <w:sz w:val="44"/>
          <w:szCs w:val="44"/>
          <w:highlight w:val="none"/>
          <w:lang w:val="en-US" w:eastAsia="zh-CN"/>
        </w:rPr>
        <w:t>未央区数字化城市管理监督指挥系统软硬件运行维护项目（2025-2026）</w:t>
      </w:r>
      <w:bookmarkEnd w:id="0"/>
    </w:p>
    <w:p w14:paraId="6FC31068">
      <w:pPr>
        <w:spacing w:line="360" w:lineRule="auto"/>
        <w:jc w:val="center"/>
        <w:rPr>
          <w:rFonts w:hint="eastAsia" w:ascii="宋体" w:hAnsi="宋体" w:eastAsia="宋体" w:cs="宋体"/>
          <w:b/>
          <w:bCs/>
          <w:color w:val="auto"/>
          <w:sz w:val="24"/>
          <w:szCs w:val="24"/>
          <w:highlight w:val="none"/>
          <w:u w:val="single"/>
          <w:lang w:val="en-US" w:eastAsia="zh-CN"/>
        </w:rPr>
      </w:pPr>
    </w:p>
    <w:p w14:paraId="3FD16E3C">
      <w:pPr>
        <w:pStyle w:val="9"/>
        <w:spacing w:line="360" w:lineRule="auto"/>
        <w:rPr>
          <w:rFonts w:hint="eastAsia" w:ascii="宋体" w:hAnsi="宋体" w:eastAsia="宋体" w:cs="宋体"/>
          <w:color w:val="auto"/>
          <w:sz w:val="18"/>
          <w:szCs w:val="21"/>
          <w:highlight w:val="none"/>
        </w:rPr>
      </w:pPr>
    </w:p>
    <w:p w14:paraId="1F0A0213">
      <w:pPr>
        <w:adjustRightInd w:val="0"/>
        <w:snapToGrid w:val="0"/>
        <w:spacing w:line="360" w:lineRule="auto"/>
        <w:jc w:val="center"/>
        <w:rPr>
          <w:rFonts w:hint="eastAsia" w:ascii="宋体" w:hAnsi="宋体" w:eastAsia="宋体" w:cs="宋体"/>
          <w:b/>
          <w:bCs/>
          <w:color w:val="auto"/>
          <w:sz w:val="60"/>
          <w:szCs w:val="60"/>
          <w:highlight w:val="none"/>
        </w:rPr>
      </w:pPr>
      <w:r>
        <w:rPr>
          <w:rFonts w:hint="eastAsia" w:ascii="宋体" w:hAnsi="宋体" w:eastAsia="宋体" w:cs="宋体"/>
          <w:b/>
          <w:bCs/>
          <w:color w:val="auto"/>
          <w:sz w:val="52"/>
          <w:szCs w:val="52"/>
          <w:highlight w:val="none"/>
        </w:rPr>
        <w:t>合 同 文 件</w:t>
      </w:r>
    </w:p>
    <w:p w14:paraId="0892C535">
      <w:pPr>
        <w:adjustRightInd w:val="0"/>
        <w:snapToGrid w:val="0"/>
        <w:spacing w:line="480" w:lineRule="auto"/>
        <w:jc w:val="center"/>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合同编号：</w:t>
      </w:r>
    </w:p>
    <w:p w14:paraId="28EC6FA7">
      <w:pPr>
        <w:adjustRightInd w:val="0"/>
        <w:snapToGrid w:val="0"/>
        <w:spacing w:line="360" w:lineRule="auto"/>
        <w:jc w:val="center"/>
        <w:rPr>
          <w:rFonts w:hint="eastAsia" w:ascii="宋体" w:hAnsi="宋体" w:eastAsia="宋体" w:cs="宋体"/>
          <w:color w:val="auto"/>
          <w:highlight w:val="none"/>
        </w:rPr>
      </w:pPr>
    </w:p>
    <w:p w14:paraId="4C00E631">
      <w:pPr>
        <w:adjustRightInd w:val="0"/>
        <w:snapToGrid w:val="0"/>
        <w:spacing w:line="360" w:lineRule="auto"/>
        <w:rPr>
          <w:rFonts w:hint="eastAsia" w:ascii="宋体" w:hAnsi="宋体" w:eastAsia="宋体" w:cs="宋体"/>
          <w:color w:val="auto"/>
          <w:highlight w:val="none"/>
        </w:rPr>
      </w:pPr>
    </w:p>
    <w:p w14:paraId="75EA3971">
      <w:pPr>
        <w:adjustRightInd w:val="0"/>
        <w:snapToGrid w:val="0"/>
        <w:spacing w:line="360" w:lineRule="auto"/>
        <w:rPr>
          <w:rFonts w:hint="eastAsia" w:ascii="宋体" w:hAnsi="宋体" w:eastAsia="宋体" w:cs="宋体"/>
          <w:color w:val="auto"/>
          <w:highlight w:val="none"/>
        </w:rPr>
      </w:pPr>
    </w:p>
    <w:p w14:paraId="0A6A7C7B">
      <w:pPr>
        <w:adjustRightInd w:val="0"/>
        <w:snapToGrid w:val="0"/>
        <w:spacing w:line="360" w:lineRule="auto"/>
        <w:rPr>
          <w:rFonts w:hint="eastAsia" w:ascii="宋体" w:hAnsi="宋体" w:eastAsia="宋体" w:cs="宋体"/>
          <w:color w:val="auto"/>
          <w:highlight w:val="none"/>
        </w:rPr>
      </w:pPr>
    </w:p>
    <w:p w14:paraId="73EAD9AF">
      <w:pPr>
        <w:pStyle w:val="10"/>
        <w:rPr>
          <w:rFonts w:hint="eastAsia" w:ascii="宋体" w:hAnsi="宋体" w:eastAsia="宋体" w:cs="宋体"/>
          <w:color w:val="auto"/>
          <w:highlight w:val="none"/>
        </w:rPr>
      </w:pPr>
    </w:p>
    <w:p w14:paraId="27A35D79">
      <w:pPr>
        <w:pStyle w:val="10"/>
        <w:rPr>
          <w:rFonts w:hint="eastAsia" w:ascii="宋体" w:hAnsi="宋体" w:eastAsia="宋体" w:cs="宋体"/>
          <w:color w:val="auto"/>
          <w:highlight w:val="none"/>
        </w:rPr>
      </w:pPr>
    </w:p>
    <w:p w14:paraId="675FBFC4">
      <w:pPr>
        <w:pStyle w:val="10"/>
        <w:rPr>
          <w:rFonts w:hint="eastAsia" w:ascii="宋体" w:hAnsi="宋体" w:eastAsia="宋体" w:cs="宋体"/>
          <w:color w:val="auto"/>
          <w:highlight w:val="none"/>
        </w:rPr>
      </w:pPr>
    </w:p>
    <w:p w14:paraId="204F4DEA">
      <w:pPr>
        <w:pStyle w:val="10"/>
        <w:rPr>
          <w:rFonts w:hint="eastAsia" w:ascii="宋体" w:hAnsi="宋体" w:eastAsia="宋体" w:cs="宋体"/>
          <w:color w:val="auto"/>
          <w:highlight w:val="none"/>
        </w:rPr>
      </w:pPr>
    </w:p>
    <w:p w14:paraId="02C2F1F1">
      <w:pPr>
        <w:pStyle w:val="10"/>
        <w:rPr>
          <w:rFonts w:hint="eastAsia" w:ascii="宋体" w:hAnsi="宋体" w:eastAsia="宋体" w:cs="宋体"/>
          <w:color w:val="auto"/>
          <w:highlight w:val="none"/>
        </w:rPr>
      </w:pPr>
    </w:p>
    <w:p w14:paraId="72428D91">
      <w:pPr>
        <w:pStyle w:val="10"/>
        <w:rPr>
          <w:rFonts w:hint="eastAsia" w:ascii="宋体" w:hAnsi="宋体" w:eastAsia="宋体" w:cs="宋体"/>
          <w:color w:val="auto"/>
          <w:highlight w:val="none"/>
        </w:rPr>
      </w:pPr>
    </w:p>
    <w:p w14:paraId="60BFDAD6">
      <w:pPr>
        <w:ind w:firstLine="2811" w:firstLineChars="1000"/>
        <w:jc w:val="both"/>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采购人(甲方) :</w:t>
      </w:r>
    </w:p>
    <w:p w14:paraId="342EE308">
      <w:pPr>
        <w:keepNext w:val="0"/>
        <w:keepLines w:val="0"/>
        <w:pageBreakBefore w:val="0"/>
        <w:widowControl w:val="0"/>
        <w:kinsoku/>
        <w:wordWrap/>
        <w:overflowPunct/>
        <w:topLinePunct w:val="0"/>
        <w:autoSpaceDE/>
        <w:autoSpaceDN/>
        <w:bidi w:val="0"/>
        <w:adjustRightInd w:val="0"/>
        <w:snapToGrid w:val="0"/>
        <w:spacing w:before="157" w:beforeLines="50" w:line="480" w:lineRule="auto"/>
        <w:ind w:firstLine="2811" w:firstLineChars="1000"/>
        <w:jc w:val="both"/>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供应商(乙方) :</w:t>
      </w:r>
    </w:p>
    <w:p w14:paraId="24685C46">
      <w:pPr>
        <w:ind w:firstLine="2249" w:firstLineChars="800"/>
        <w:jc w:val="both"/>
        <w:rPr>
          <w:rFonts w:hint="eastAsia" w:ascii="宋体" w:hAnsi="宋体" w:eastAsia="宋体" w:cs="宋体"/>
          <w:color w:val="auto"/>
        </w:rPr>
      </w:pPr>
      <w:r>
        <w:rPr>
          <w:rFonts w:hint="eastAsia" w:ascii="宋体" w:hAnsi="宋体" w:eastAsia="宋体" w:cs="宋体"/>
          <w:b/>
          <w:color w:val="auto"/>
          <w:sz w:val="28"/>
          <w:szCs w:val="28"/>
          <w:highlight w:val="none"/>
        </w:rPr>
        <w:t>二〇二</w:t>
      </w:r>
      <w:r>
        <w:rPr>
          <w:rFonts w:hint="eastAsia" w:ascii="宋体" w:hAnsi="宋体" w:eastAsia="宋体" w:cs="宋体"/>
          <w:b/>
          <w:color w:val="auto"/>
          <w:sz w:val="28"/>
          <w:szCs w:val="28"/>
          <w:highlight w:val="none"/>
          <w:lang w:val="en-US" w:eastAsia="zh-CN"/>
        </w:rPr>
        <w:t>五</w:t>
      </w:r>
      <w:r>
        <w:rPr>
          <w:rFonts w:hint="eastAsia" w:ascii="宋体" w:hAnsi="宋体" w:eastAsia="宋体" w:cs="宋体"/>
          <w:b/>
          <w:color w:val="auto"/>
          <w:sz w:val="28"/>
          <w:szCs w:val="28"/>
          <w:highlight w:val="none"/>
        </w:rPr>
        <w:t>年   月    日</w:t>
      </w:r>
      <w:r>
        <w:rPr>
          <w:rFonts w:hint="eastAsia" w:ascii="宋体" w:hAnsi="宋体" w:eastAsia="宋体" w:cs="宋体"/>
          <w:color w:val="auto"/>
        </w:rPr>
        <w:br w:type="page"/>
      </w:r>
    </w:p>
    <w:p w14:paraId="526D31E5">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第一条  合同双方当事人</w:t>
      </w:r>
    </w:p>
    <w:p w14:paraId="34BD013B">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hint="eastAsia" w:ascii="仿宋" w:hAnsi="仿宋" w:eastAsia="仿宋" w:cs="仿宋"/>
          <w:b w:val="0"/>
          <w:color w:val="auto"/>
          <w:sz w:val="28"/>
          <w:szCs w:val="28"/>
        </w:rPr>
        <w:t>甲方</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p>
    <w:p w14:paraId="1D22A6B7">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hint="eastAsia" w:ascii="仿宋" w:hAnsi="仿宋" w:eastAsia="仿宋" w:cs="仿宋"/>
          <w:b w:val="0"/>
          <w:color w:val="auto"/>
          <w:sz w:val="28"/>
          <w:szCs w:val="28"/>
        </w:rPr>
        <w:t>乙方</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p>
    <w:p w14:paraId="0C740200">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rPr>
      </w:pPr>
      <w:bookmarkStart w:id="1" w:name="_Toc333174971"/>
      <w:r>
        <w:rPr>
          <w:rFonts w:hint="eastAsia" w:ascii="仿宋" w:hAnsi="仿宋" w:eastAsia="仿宋" w:cs="仿宋"/>
          <w:b/>
          <w:bCs/>
          <w:color w:val="auto"/>
          <w:sz w:val="28"/>
          <w:szCs w:val="28"/>
        </w:rPr>
        <w:t>第二条  服务事项</w:t>
      </w:r>
      <w:bookmarkEnd w:id="1"/>
    </w:p>
    <w:p w14:paraId="79BB0183">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甲方委托乙方对甲方拥有或运营的【未央区数字化城市管理监督指挥系统软硬件运行维护项目（2025-2026）】提供硬件及软件维保、技术咨询、故障处理、对接升级的技术咨询、现场支持等服务。</w:t>
      </w:r>
    </w:p>
    <w:p w14:paraId="1EFD6509">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rPr>
      </w:pPr>
      <w:bookmarkStart w:id="2" w:name="_Toc333174972"/>
      <w:r>
        <w:rPr>
          <w:rFonts w:hint="eastAsia" w:ascii="仿宋" w:hAnsi="仿宋" w:eastAsia="仿宋" w:cs="仿宋"/>
          <w:b/>
          <w:bCs/>
          <w:color w:val="auto"/>
          <w:sz w:val="28"/>
          <w:szCs w:val="28"/>
        </w:rPr>
        <w:t>第三条  服务要求</w:t>
      </w:r>
      <w:bookmarkEnd w:id="2"/>
    </w:p>
    <w:p w14:paraId="6A018B2E">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乙方所提供的服务应符合法律法规或国家、行业的相关标准、甲方的相关管理制度、标准或规范、乙方对甲方的各项承诺。</w:t>
      </w:r>
    </w:p>
    <w:p w14:paraId="14DE2D0E">
      <w:pPr>
        <w:pStyle w:val="11"/>
        <w:keepNext w:val="0"/>
        <w:keepLines w:val="0"/>
        <w:pageBreakBefore w:val="0"/>
        <w:tabs>
          <w:tab w:val="left" w:pos="840"/>
        </w:tabs>
        <w:kinsoku/>
        <w:wordWrap/>
        <w:overflowPunct/>
        <w:topLinePunct w:val="0"/>
        <w:autoSpaceDE/>
        <w:autoSpaceDN/>
        <w:bidi w:val="0"/>
        <w:spacing w:line="240" w:lineRule="auto"/>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rPr>
        <w:t>无条件免费配合</w:t>
      </w:r>
      <w:r>
        <w:rPr>
          <w:rFonts w:hint="eastAsia" w:ascii="仿宋" w:hAnsi="仿宋" w:eastAsia="仿宋" w:cs="仿宋"/>
          <w:color w:val="auto"/>
          <w:sz w:val="28"/>
          <w:szCs w:val="28"/>
          <w:lang w:val="en-US" w:eastAsia="zh-CN"/>
        </w:rPr>
        <w:t>甲方</w:t>
      </w:r>
      <w:r>
        <w:rPr>
          <w:rFonts w:hint="eastAsia" w:ascii="仿宋" w:hAnsi="仿宋" w:eastAsia="仿宋" w:cs="仿宋"/>
          <w:color w:val="auto"/>
          <w:sz w:val="28"/>
          <w:szCs w:val="28"/>
        </w:rPr>
        <w:t>实施的“未央区城市运行管理服务平台建设”项目，包括本次招标所包含的所有硬件、软件、传输的迁移工作。</w:t>
      </w:r>
    </w:p>
    <w:p w14:paraId="2BBE1F63">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rPr>
      </w:pPr>
      <w:bookmarkStart w:id="3" w:name="_Toc333174973"/>
      <w:r>
        <w:rPr>
          <w:rFonts w:hint="eastAsia" w:ascii="仿宋" w:hAnsi="仿宋" w:eastAsia="仿宋" w:cs="仿宋"/>
          <w:b/>
          <w:bCs/>
          <w:color w:val="auto"/>
          <w:sz w:val="28"/>
          <w:szCs w:val="28"/>
        </w:rPr>
        <w:t>第四条  服务期限与地点</w:t>
      </w:r>
      <w:bookmarkEnd w:id="3"/>
    </w:p>
    <w:p w14:paraId="6F63C4A1">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4.1服务期限：自   年  月   日起到   年  月 日止。</w:t>
      </w:r>
    </w:p>
    <w:p w14:paraId="654EC5D9">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4.2服务地点或地域范围：【未央区辖区】</w:t>
      </w:r>
      <w:bookmarkStart w:id="4" w:name="_Toc333174974"/>
      <w:bookmarkStart w:id="5" w:name="_Toc48999875"/>
      <w:bookmarkStart w:id="6" w:name="_Toc48999687"/>
    </w:p>
    <w:p w14:paraId="7B3054C1">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lang w:val="zh-CN" w:eastAsia="zh-CN"/>
        </w:rPr>
      </w:pPr>
      <w:r>
        <w:rPr>
          <w:rFonts w:hint="eastAsia" w:ascii="仿宋" w:hAnsi="仿宋" w:eastAsia="仿宋" w:cs="仿宋"/>
          <w:b/>
          <w:bCs/>
          <w:color w:val="auto"/>
          <w:sz w:val="28"/>
          <w:szCs w:val="28"/>
          <w:lang w:val="zh-CN" w:eastAsia="zh-CN"/>
        </w:rPr>
        <w:t>第五条：服务内容</w:t>
      </w:r>
    </w:p>
    <w:p w14:paraId="13FA9442">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default"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none"/>
          <w:lang w:val="zh-CN" w:eastAsia="zh-CN"/>
        </w:rPr>
        <w:t>硬件</w:t>
      </w:r>
      <w:r>
        <w:rPr>
          <w:rFonts w:hint="eastAsia" w:ascii="仿宋" w:hAnsi="仿宋" w:eastAsia="仿宋" w:cs="仿宋"/>
          <w:color w:val="auto"/>
          <w:sz w:val="28"/>
          <w:szCs w:val="28"/>
          <w:highlight w:val="none"/>
          <w:lang w:val="en-US" w:eastAsia="zh-CN"/>
        </w:rPr>
        <w:t>运维服务和软件运维服务（具体详见竞争性磋商文件第三章）</w:t>
      </w:r>
    </w:p>
    <w:bookmarkEnd w:id="4"/>
    <w:p w14:paraId="729EBF57">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lang w:val="zh-CN" w:eastAsia="zh-CN"/>
        </w:rPr>
      </w:pPr>
      <w:bookmarkStart w:id="7" w:name="_Toc333174975"/>
      <w:r>
        <w:rPr>
          <w:rFonts w:hint="eastAsia" w:ascii="仿宋" w:hAnsi="仿宋" w:eastAsia="仿宋" w:cs="仿宋"/>
          <w:b/>
          <w:bCs/>
          <w:color w:val="auto"/>
          <w:sz w:val="28"/>
          <w:szCs w:val="28"/>
          <w:lang w:val="zh-CN" w:eastAsia="zh-CN"/>
        </w:rPr>
        <w:t>第六条  双方权利义务</w:t>
      </w:r>
      <w:bookmarkEnd w:id="7"/>
    </w:p>
    <w:p w14:paraId="5EE3C130">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6.1甲方有权对乙方的服务内容和服务质量进行监督和考核，并根据考核的结果要求乙方改进。</w:t>
      </w:r>
    </w:p>
    <w:p w14:paraId="07F49EBB">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6.2甲方有权要求乙方更换甲方认为不能胜任工作的乙方人员。甲方要求乙方更换有关人员的，乙方应在收到甲方书面通知后【3】日内更换。乙方应确保前述人员更换不会对乙方向甲方提供本合同项下服务产生不利影响。</w:t>
      </w:r>
    </w:p>
    <w:p w14:paraId="27E0E850">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6.3甲方应当对乙方履行本合同提供必要的协作和工作条件。</w:t>
      </w:r>
    </w:p>
    <w:p w14:paraId="169BB523">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6.4乙方在服务中接受甲方的监督，与甲方通力合作，接纳甲方的合理建议，提高服务质量。乙方应在甲方通知后2小时内到场处理问题，并在甲方要求的时间内处理完毕。</w:t>
      </w:r>
    </w:p>
    <w:p w14:paraId="07978B4E">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6.5乙方有权按照本合同约定要求甲方支付相应的款项。</w:t>
      </w:r>
    </w:p>
    <w:p w14:paraId="6588C42A">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6.6乙方应负责做好服务现场的安全保护工作，实现安全生产。</w:t>
      </w:r>
    </w:p>
    <w:p w14:paraId="489A233F">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6.7乙方应确保其人员遵守甲方的相关工作制度或规范，遵守服务现场的规章制度。因乙方人员违反上述制度或规范，导致甲方损失的，乙方应予赔偿。</w:t>
      </w:r>
    </w:p>
    <w:p w14:paraId="11C009B4">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6.8乙方负责按法律法规规定与乙方人员签订劳动合同、办理有关社会保险、提供劳保用品等，并负责处理与乙方人员的劳动纠纷。</w:t>
      </w:r>
    </w:p>
    <w:p w14:paraId="7C27A70E">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6.9乙方应当做好网络安全与信息安全工作，遵守国家与网络安全和信息安全相关的法律法规，遵守甲方与网络安全和信息安全相关的管理制度和规范。</w:t>
      </w:r>
    </w:p>
    <w:p w14:paraId="7E9A80D4">
      <w:pPr>
        <w:pStyle w:val="11"/>
        <w:keepNext w:val="0"/>
        <w:keepLines w:val="0"/>
        <w:pageBreakBefore w:val="0"/>
        <w:tabs>
          <w:tab w:val="left" w:pos="840"/>
        </w:tabs>
        <w:kinsoku/>
        <w:wordWrap/>
        <w:overflowPunct/>
        <w:topLinePunct w:val="0"/>
        <w:autoSpaceDE/>
        <w:autoSpaceDN/>
        <w:bidi w:val="0"/>
        <w:spacing w:afterLines="0" w:line="240" w:lineRule="auto"/>
        <w:ind w:firstLine="560"/>
        <w:jc w:val="both"/>
        <w:textAlignment w:val="auto"/>
        <w:rPr>
          <w:rFonts w:ascii="仿宋" w:hAnsi="仿宋" w:eastAsia="仿宋" w:cs="仿宋"/>
          <w:color w:val="auto"/>
          <w:kern w:val="0"/>
          <w:sz w:val="28"/>
          <w:szCs w:val="28"/>
        </w:rPr>
      </w:pPr>
      <w:r>
        <w:rPr>
          <w:rFonts w:hint="eastAsia" w:ascii="仿宋" w:hAnsi="仿宋" w:eastAsia="仿宋" w:cs="仿宋"/>
          <w:color w:val="auto"/>
          <w:sz w:val="28"/>
          <w:szCs w:val="28"/>
          <w:lang w:val="en-US" w:eastAsia="zh-CN"/>
        </w:rPr>
        <w:t>6.10如服务过程中发现非乙方服务范围内甲方设</w:t>
      </w:r>
      <w:r>
        <w:rPr>
          <w:rFonts w:hint="eastAsia" w:ascii="仿宋" w:hAnsi="仿宋" w:eastAsia="仿宋" w:cs="仿宋"/>
          <w:color w:val="auto"/>
          <w:kern w:val="0"/>
          <w:sz w:val="28"/>
          <w:szCs w:val="28"/>
        </w:rPr>
        <w:t>备或系统的损坏或隐患，乙方应采取相应预防或应对措施并及时通知甲方进行处理。</w:t>
      </w:r>
    </w:p>
    <w:p w14:paraId="225DB8E9">
      <w:pPr>
        <w:pStyle w:val="11"/>
        <w:keepNext w:val="0"/>
        <w:keepLines w:val="0"/>
        <w:pageBreakBefore w:val="0"/>
        <w:numPr>
          <w:ilvl w:val="0"/>
          <w:numId w:val="0"/>
        </w:numPr>
        <w:kinsoku/>
        <w:wordWrap/>
        <w:overflowPunct/>
        <w:topLinePunct w:val="0"/>
        <w:autoSpaceDE/>
        <w:autoSpaceDN/>
        <w:bidi w:val="0"/>
        <w:spacing w:line="240" w:lineRule="auto"/>
        <w:ind w:left="0" w:leftChars="0"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6.11</w:t>
      </w:r>
      <w:r>
        <w:rPr>
          <w:rFonts w:hint="eastAsia" w:ascii="仿宋" w:hAnsi="仿宋" w:eastAsia="仿宋" w:cs="仿宋"/>
          <w:color w:val="auto"/>
          <w:sz w:val="28"/>
          <w:szCs w:val="28"/>
        </w:rPr>
        <w:t>乙方应在合同履行过程中通过现场交流、技术资料提供等方式向甲方传授相关知识。</w:t>
      </w:r>
    </w:p>
    <w:p w14:paraId="425BC75F">
      <w:pPr>
        <w:pStyle w:val="11"/>
        <w:keepNext w:val="0"/>
        <w:keepLines w:val="0"/>
        <w:pageBreakBefore w:val="0"/>
        <w:numPr>
          <w:ilvl w:val="0"/>
          <w:numId w:val="0"/>
        </w:numPr>
        <w:kinsoku/>
        <w:wordWrap/>
        <w:overflowPunct/>
        <w:topLinePunct w:val="0"/>
        <w:autoSpaceDE/>
        <w:autoSpaceDN/>
        <w:bidi w:val="0"/>
        <w:spacing w:line="240" w:lineRule="auto"/>
        <w:ind w:left="0" w:leftChars="0"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6.12</w:t>
      </w:r>
      <w:r>
        <w:rPr>
          <w:rFonts w:hint="eastAsia" w:ascii="仿宋" w:hAnsi="仿宋" w:eastAsia="仿宋" w:cs="仿宋"/>
          <w:color w:val="auto"/>
          <w:sz w:val="28"/>
          <w:szCs w:val="28"/>
        </w:rPr>
        <w:t>乙方应承担替换部件运输过程中所发生的损失和费用，替换部件到达甲方指定地点并交付甲方前的风险由乙方承担。</w:t>
      </w:r>
    </w:p>
    <w:p w14:paraId="1F5EA7B4">
      <w:pPr>
        <w:pStyle w:val="11"/>
        <w:keepNext w:val="0"/>
        <w:keepLines w:val="0"/>
        <w:pageBreakBefore w:val="0"/>
        <w:numPr>
          <w:ilvl w:val="0"/>
          <w:numId w:val="0"/>
        </w:numPr>
        <w:kinsoku/>
        <w:wordWrap/>
        <w:overflowPunct/>
        <w:topLinePunct w:val="0"/>
        <w:autoSpaceDE/>
        <w:autoSpaceDN/>
        <w:bidi w:val="0"/>
        <w:spacing w:line="240" w:lineRule="auto"/>
        <w:ind w:left="0" w:leftChars="0" w:firstLine="560" w:firstLineChars="200"/>
        <w:jc w:val="both"/>
        <w:textAlignment w:val="auto"/>
        <w:rPr>
          <w:rFonts w:ascii="仿宋" w:hAnsi="仿宋" w:eastAsia="仿宋" w:cs="仿宋"/>
          <w:color w:val="auto"/>
          <w:kern w:val="0"/>
          <w:sz w:val="28"/>
          <w:szCs w:val="28"/>
        </w:rPr>
      </w:pPr>
      <w:r>
        <w:rPr>
          <w:rFonts w:hint="eastAsia" w:ascii="仿宋" w:hAnsi="仿宋" w:eastAsia="仿宋" w:cs="仿宋"/>
          <w:color w:val="auto"/>
          <w:sz w:val="28"/>
          <w:szCs w:val="28"/>
          <w:lang w:val="en-US" w:eastAsia="zh-CN"/>
        </w:rPr>
        <w:t>6.13</w:t>
      </w:r>
      <w:r>
        <w:rPr>
          <w:rFonts w:hint="eastAsia" w:ascii="仿宋" w:hAnsi="仿宋" w:eastAsia="仿宋" w:cs="仿宋"/>
          <w:color w:val="auto"/>
          <w:sz w:val="28"/>
          <w:szCs w:val="28"/>
        </w:rPr>
        <w:t>根据服务</w:t>
      </w:r>
      <w:r>
        <w:rPr>
          <w:rFonts w:hint="eastAsia" w:ascii="仿宋" w:hAnsi="仿宋" w:eastAsia="仿宋" w:cs="仿宋"/>
          <w:color w:val="auto"/>
          <w:kern w:val="0"/>
          <w:sz w:val="28"/>
          <w:szCs w:val="28"/>
        </w:rPr>
        <w:t>需要替换材料设备或配件的，</w:t>
      </w:r>
      <w:r>
        <w:rPr>
          <w:rFonts w:hint="eastAsia" w:ascii="仿宋" w:hAnsi="仿宋" w:eastAsia="仿宋" w:cs="仿宋"/>
          <w:color w:val="auto"/>
          <w:kern w:val="0"/>
          <w:sz w:val="28"/>
          <w:szCs w:val="28"/>
          <w:lang w:val="en-US" w:eastAsia="zh-CN"/>
        </w:rPr>
        <w:t>由乙方提供</w:t>
      </w:r>
      <w:r>
        <w:rPr>
          <w:rFonts w:hint="eastAsia" w:ascii="仿宋" w:hAnsi="仿宋" w:eastAsia="仿宋" w:cs="仿宋"/>
          <w:color w:val="auto"/>
          <w:kern w:val="0"/>
          <w:sz w:val="28"/>
          <w:szCs w:val="28"/>
        </w:rPr>
        <w:t>，被替换下来的材料设备或配件所有权属于【甲】方</w:t>
      </w:r>
      <w:r>
        <w:rPr>
          <w:rFonts w:hint="eastAsia" w:ascii="仿宋" w:hAnsi="仿宋" w:eastAsia="仿宋" w:cs="仿宋"/>
          <w:color w:val="auto"/>
          <w:kern w:val="0"/>
          <w:sz w:val="28"/>
          <w:szCs w:val="28"/>
          <w:lang w:eastAsia="zh-CN"/>
        </w:rPr>
        <w:t>。</w:t>
      </w:r>
    </w:p>
    <w:p w14:paraId="46654463">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rPr>
      </w:pPr>
      <w:bookmarkStart w:id="8" w:name="_Toc333174976"/>
      <w:r>
        <w:rPr>
          <w:rFonts w:hint="eastAsia" w:ascii="仿宋" w:hAnsi="仿宋" w:eastAsia="仿宋" w:cs="仿宋"/>
          <w:b/>
          <w:bCs/>
          <w:color w:val="auto"/>
          <w:sz w:val="28"/>
          <w:szCs w:val="28"/>
        </w:rPr>
        <w:t>第七条  价格</w:t>
      </w:r>
      <w:bookmarkEnd w:id="5"/>
      <w:bookmarkEnd w:id="6"/>
      <w:bookmarkEnd w:id="8"/>
    </w:p>
    <w:p w14:paraId="2056593D">
      <w:pPr>
        <w:pStyle w:val="11"/>
        <w:keepNext w:val="0"/>
        <w:keepLines w:val="0"/>
        <w:pageBreakBefore w:val="0"/>
        <w:numPr>
          <w:ilvl w:val="0"/>
          <w:numId w:val="0"/>
        </w:numPr>
        <w:kinsoku/>
        <w:wordWrap/>
        <w:overflowPunct/>
        <w:topLinePunct w:val="0"/>
        <w:autoSpaceDE/>
        <w:autoSpaceDN/>
        <w:bidi w:val="0"/>
        <w:spacing w:line="240" w:lineRule="auto"/>
        <w:ind w:left="0" w:leftChars="0" w:firstLine="560" w:firstLineChars="2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w:t>
      </w:r>
      <w:r>
        <w:rPr>
          <w:rFonts w:hint="eastAsia" w:ascii="仿宋" w:hAnsi="仿宋" w:eastAsia="仿宋" w:cs="仿宋"/>
          <w:color w:val="auto"/>
          <w:sz w:val="28"/>
          <w:szCs w:val="28"/>
          <w:highlight w:val="none"/>
          <w:lang w:val="en-US" w:eastAsia="zh-CN"/>
        </w:rPr>
        <w:t>硬件部分为固定合同价暂定金额为¥</w:t>
      </w:r>
      <w:r>
        <w:rPr>
          <w:rFonts w:hint="eastAsia" w:ascii="仿宋" w:hAnsi="仿宋" w:eastAsia="仿宋" w:cs="仿宋"/>
          <w:color w:val="auto"/>
          <w:sz w:val="28"/>
          <w:szCs w:val="28"/>
          <w:highlight w:val="none"/>
          <w:u w:val="single"/>
          <w:lang w:val="en-US" w:eastAsia="zh-CN"/>
        </w:rPr>
        <w:t xml:space="preserve"> 250000.00</w:t>
      </w:r>
      <w:r>
        <w:rPr>
          <w:rFonts w:hint="eastAsia" w:ascii="仿宋" w:hAnsi="仿宋" w:eastAsia="仿宋" w:cs="仿宋"/>
          <w:color w:val="auto"/>
          <w:sz w:val="28"/>
          <w:szCs w:val="28"/>
          <w:highlight w:val="none"/>
          <w:u w:val="single"/>
        </w:rPr>
        <w:t>元</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含税</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rPr>
        <w:t>，大写</w:t>
      </w:r>
      <w:r>
        <w:rPr>
          <w:rFonts w:hint="eastAsia" w:ascii="仿宋" w:hAnsi="仿宋" w:eastAsia="仿宋" w:cs="仿宋"/>
          <w:color w:val="auto"/>
          <w:sz w:val="28"/>
          <w:szCs w:val="28"/>
          <w:highlight w:val="none"/>
          <w:u w:val="single"/>
          <w:lang w:val="en-US" w:eastAsia="zh-CN"/>
        </w:rPr>
        <w:t>人民币贰拾伍万元整</w:t>
      </w:r>
      <w:r>
        <w:rPr>
          <w:rFonts w:hint="eastAsia" w:ascii="仿宋" w:hAnsi="仿宋" w:eastAsia="仿宋" w:cs="仿宋"/>
          <w:color w:val="auto"/>
          <w:sz w:val="28"/>
          <w:szCs w:val="28"/>
          <w:highlight w:val="none"/>
          <w:u w:val="none"/>
          <w:lang w:val="en-US" w:eastAsia="zh-CN"/>
        </w:rPr>
        <w:t>；软件部分合同价为¥</w:t>
      </w:r>
      <w:r>
        <w:rPr>
          <w:rFonts w:hint="eastAsia" w:ascii="仿宋" w:hAnsi="仿宋" w:eastAsia="仿宋" w:cs="仿宋"/>
          <w:color w:val="auto"/>
          <w:sz w:val="28"/>
          <w:szCs w:val="28"/>
          <w:highlight w:val="none"/>
          <w:u w:val="single"/>
          <w:lang w:val="en-US" w:eastAsia="zh-CN"/>
        </w:rPr>
        <w:t xml:space="preserve">        元（含税）</w:t>
      </w:r>
      <w:r>
        <w:rPr>
          <w:rFonts w:hint="eastAsia" w:ascii="仿宋" w:hAnsi="仿宋" w:eastAsia="仿宋" w:cs="仿宋"/>
          <w:color w:val="auto"/>
          <w:sz w:val="28"/>
          <w:szCs w:val="28"/>
          <w:highlight w:val="none"/>
          <w:u w:val="none"/>
          <w:lang w:val="en-US" w:eastAsia="zh-CN"/>
        </w:rPr>
        <w:t>，大写</w:t>
      </w:r>
      <w:r>
        <w:rPr>
          <w:rFonts w:hint="eastAsia" w:ascii="仿宋" w:hAnsi="仿宋" w:eastAsia="仿宋" w:cs="仿宋"/>
          <w:color w:val="auto"/>
          <w:sz w:val="28"/>
          <w:szCs w:val="28"/>
          <w:highlight w:val="none"/>
          <w:u w:val="single"/>
          <w:lang w:val="en-US" w:eastAsia="zh-CN"/>
        </w:rPr>
        <w:t>人民币            元</w:t>
      </w:r>
      <w:r>
        <w:rPr>
          <w:rFonts w:hint="eastAsia" w:ascii="仿宋" w:hAnsi="仿宋" w:eastAsia="仿宋" w:cs="仿宋"/>
          <w:color w:val="auto"/>
          <w:sz w:val="28"/>
          <w:szCs w:val="28"/>
          <w:highlight w:val="none"/>
          <w:lang w:eastAsia="zh-CN"/>
        </w:rPr>
        <w:t>。</w:t>
      </w:r>
    </w:p>
    <w:p w14:paraId="1791B48C">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highlight w:val="none"/>
        </w:rPr>
      </w:pPr>
      <w:bookmarkStart w:id="9" w:name="_Toc333174977"/>
      <w:bookmarkStart w:id="10" w:name="_Toc48999876"/>
      <w:bookmarkStart w:id="11" w:name="_Toc48999688"/>
      <w:r>
        <w:rPr>
          <w:rFonts w:hint="eastAsia" w:ascii="仿宋" w:hAnsi="仿宋" w:eastAsia="仿宋" w:cs="仿宋"/>
          <w:b/>
          <w:bCs/>
          <w:color w:val="auto"/>
          <w:sz w:val="28"/>
          <w:szCs w:val="28"/>
          <w:highlight w:val="none"/>
        </w:rPr>
        <w:t>第八条  付款方式</w:t>
      </w:r>
      <w:bookmarkEnd w:id="9"/>
      <w:bookmarkEnd w:id="10"/>
      <w:bookmarkEnd w:id="11"/>
    </w:p>
    <w:p w14:paraId="68A8DB1A">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8.1</w:t>
      </w:r>
      <w:bookmarkStart w:id="12" w:name="_Toc333174979"/>
      <w:bookmarkStart w:id="13" w:name="_Toc48999695"/>
      <w:bookmarkStart w:id="14" w:name="_Toc48999883"/>
      <w:r>
        <w:rPr>
          <w:rFonts w:hint="eastAsia" w:ascii="仿宋" w:hAnsi="仿宋" w:eastAsia="仿宋" w:cs="仿宋"/>
          <w:color w:val="auto"/>
          <w:kern w:val="2"/>
          <w:sz w:val="28"/>
          <w:szCs w:val="28"/>
          <w:highlight w:val="none"/>
          <w:lang w:val="en-US" w:eastAsia="zh-CN" w:bidi="ar-SA"/>
        </w:rPr>
        <w:t>本项目无预付款，按半年结算。每半年末，供应商向采购人提交工程维护相关资料，经财政局结算评审后，以合同约定计价方法核算，并以转账形式支付供应商费用。供应商申报费用前应向采购人提交同等金额正式完税发票。</w:t>
      </w:r>
    </w:p>
    <w:p w14:paraId="42EECA3F">
      <w:pPr>
        <w:pStyle w:val="2"/>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硬件：按照实际发生费用结算，乙方报费用清单，甲方确认。</w:t>
      </w:r>
    </w:p>
    <w:p w14:paraId="6FF7A404">
      <w:pPr>
        <w:pStyle w:val="2"/>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软件：按照包干计算，即维护系统正常运行,定期进行维护升级，按照维保要求排除故障。</w:t>
      </w:r>
    </w:p>
    <w:p w14:paraId="62E18518">
      <w:pPr>
        <w:pStyle w:val="2"/>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最终结算以财政局审定后的金额为准。</w:t>
      </w:r>
    </w:p>
    <w:p w14:paraId="75F5093C">
      <w:pPr>
        <w:pStyle w:val="2"/>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rPr>
        <w:t>待服务期满后，乙方向甲方提供甲方上级财务主管部门指定或具有审计资质的审计公司对该年度工作量进行审计后的</w:t>
      </w:r>
      <w:r>
        <w:rPr>
          <w:rFonts w:hint="eastAsia" w:ascii="仿宋" w:hAnsi="仿宋" w:eastAsia="仿宋" w:cs="仿宋"/>
          <w:color w:val="auto"/>
          <w:sz w:val="28"/>
          <w:szCs w:val="28"/>
          <w:highlight w:val="none"/>
          <w:lang w:eastAsia="zh-CN"/>
        </w:rPr>
        <w:t>结算</w:t>
      </w:r>
      <w:r>
        <w:rPr>
          <w:rFonts w:hint="eastAsia" w:ascii="仿宋" w:hAnsi="仿宋" w:eastAsia="仿宋" w:cs="仿宋"/>
          <w:color w:val="auto"/>
          <w:sz w:val="28"/>
          <w:szCs w:val="28"/>
          <w:highlight w:val="none"/>
        </w:rPr>
        <w:t>报告。如</w:t>
      </w:r>
      <w:r>
        <w:rPr>
          <w:rFonts w:hint="eastAsia" w:ascii="仿宋" w:hAnsi="仿宋" w:eastAsia="仿宋" w:cs="仿宋"/>
          <w:color w:val="auto"/>
          <w:sz w:val="28"/>
          <w:szCs w:val="28"/>
          <w:highlight w:val="none"/>
          <w:lang w:eastAsia="zh-CN"/>
        </w:rPr>
        <w:t>结算</w:t>
      </w:r>
      <w:r>
        <w:rPr>
          <w:rFonts w:hint="eastAsia" w:ascii="仿宋" w:hAnsi="仿宋" w:eastAsia="仿宋" w:cs="仿宋"/>
          <w:color w:val="auto"/>
          <w:sz w:val="28"/>
          <w:szCs w:val="28"/>
          <w:highlight w:val="none"/>
        </w:rPr>
        <w:t>价格低于预估价格，以</w:t>
      </w:r>
      <w:r>
        <w:rPr>
          <w:rFonts w:hint="eastAsia" w:ascii="仿宋" w:hAnsi="仿宋" w:eastAsia="仿宋" w:cs="仿宋"/>
          <w:color w:val="auto"/>
          <w:sz w:val="28"/>
          <w:szCs w:val="28"/>
          <w:highlight w:val="none"/>
          <w:lang w:eastAsia="zh-CN"/>
        </w:rPr>
        <w:t>结算</w:t>
      </w:r>
      <w:r>
        <w:rPr>
          <w:rFonts w:hint="eastAsia" w:ascii="仿宋" w:hAnsi="仿宋" w:eastAsia="仿宋" w:cs="仿宋"/>
          <w:color w:val="auto"/>
          <w:sz w:val="28"/>
          <w:szCs w:val="28"/>
          <w:highlight w:val="none"/>
        </w:rPr>
        <w:t>价格为准扣除服务质量监督款后支付；如</w:t>
      </w:r>
      <w:r>
        <w:rPr>
          <w:rFonts w:hint="eastAsia" w:ascii="仿宋" w:hAnsi="仿宋" w:eastAsia="仿宋" w:cs="仿宋"/>
          <w:color w:val="auto"/>
          <w:sz w:val="28"/>
          <w:szCs w:val="28"/>
          <w:highlight w:val="none"/>
          <w:lang w:eastAsia="zh-CN"/>
        </w:rPr>
        <w:t>结算</w:t>
      </w:r>
      <w:r>
        <w:rPr>
          <w:rFonts w:hint="eastAsia" w:ascii="仿宋" w:hAnsi="仿宋" w:eastAsia="仿宋" w:cs="仿宋"/>
          <w:color w:val="auto"/>
          <w:sz w:val="28"/>
          <w:szCs w:val="28"/>
          <w:highlight w:val="none"/>
        </w:rPr>
        <w:t>价格高于预估价格，以预估价格为准扣除服务质量监督款后支付。</w:t>
      </w:r>
    </w:p>
    <w:p w14:paraId="21F42ADA">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left="533" w:leftChars="254" w:firstLine="0" w:firstLineChars="0"/>
        <w:jc w:val="both"/>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8.2 乙方收款账户信息如下：</w:t>
      </w:r>
      <w:r>
        <w:rPr>
          <w:rFonts w:hint="eastAsia" w:ascii="仿宋" w:hAnsi="仿宋" w:eastAsia="仿宋" w:cs="仿宋"/>
          <w:color w:val="auto"/>
          <w:kern w:val="0"/>
          <w:sz w:val="28"/>
          <w:szCs w:val="28"/>
          <w:highlight w:val="none"/>
          <w:lang w:val="en-US" w:eastAsia="zh-CN"/>
        </w:rPr>
        <w:br w:type="textWrapping"/>
      </w:r>
      <w:r>
        <w:rPr>
          <w:rFonts w:hint="eastAsia" w:ascii="仿宋" w:hAnsi="仿宋" w:eastAsia="仿宋" w:cs="仿宋"/>
          <w:color w:val="auto"/>
          <w:kern w:val="0"/>
          <w:sz w:val="28"/>
          <w:szCs w:val="28"/>
          <w:highlight w:val="none"/>
          <w:lang w:val="en-US" w:eastAsia="zh-CN"/>
        </w:rPr>
        <w:t xml:space="preserve">名  称：          </w:t>
      </w:r>
    </w:p>
    <w:p w14:paraId="2ECCD402">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left="533" w:leftChars="254" w:firstLine="0" w:firstLineChars="0"/>
        <w:jc w:val="both"/>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 xml:space="preserve">开户行：          </w:t>
      </w:r>
    </w:p>
    <w:p w14:paraId="7EFD611E">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left="533" w:leftChars="254" w:firstLine="0" w:firstLineChars="0"/>
        <w:jc w:val="both"/>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 xml:space="preserve">账  号：         </w:t>
      </w:r>
    </w:p>
    <w:p w14:paraId="0307A009">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第九条  知识产权</w:t>
      </w:r>
      <w:bookmarkEnd w:id="12"/>
    </w:p>
    <w:p w14:paraId="1F5CC7B1">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9.1</w:t>
      </w:r>
      <w:r>
        <w:rPr>
          <w:rFonts w:hint="eastAsia" w:ascii="仿宋" w:hAnsi="仿宋" w:eastAsia="仿宋" w:cs="仿宋"/>
          <w:color w:val="auto"/>
          <w:sz w:val="28"/>
          <w:szCs w:val="28"/>
        </w:rPr>
        <w:t>乙方保证对其在服务过程中提供给甲方的软件、专利（含专有技术，下同）等成果拥有完全的知识产权或已经权利人许可使用，甲方依据本合同使用乙方提供的上述成果不会侵犯任何第三方的知识产权或其他权利，且甲方有权持续并不受干扰地使用上述成果。</w:t>
      </w:r>
    </w:p>
    <w:p w14:paraId="23FDF74B">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9.2</w:t>
      </w:r>
      <w:r>
        <w:rPr>
          <w:rFonts w:hint="eastAsia" w:ascii="仿宋" w:hAnsi="仿宋" w:eastAsia="仿宋" w:cs="仿宋"/>
          <w:color w:val="auto"/>
          <w:sz w:val="28"/>
          <w:szCs w:val="28"/>
        </w:rPr>
        <w:t>甲方依本合同向乙方提供的所有资料、专利、软件产品及其数据或程序、文档等，其知识产权和</w:t>
      </w:r>
      <w:r>
        <w:rPr>
          <w:rFonts w:ascii="仿宋" w:hAnsi="仿宋" w:eastAsia="仿宋" w:cs="仿宋"/>
          <w:color w:val="auto"/>
          <w:sz w:val="28"/>
          <w:szCs w:val="28"/>
        </w:rPr>
        <w:t>/</w:t>
      </w:r>
      <w:r>
        <w:rPr>
          <w:rFonts w:hint="eastAsia" w:ascii="仿宋" w:hAnsi="仿宋" w:eastAsia="仿宋" w:cs="仿宋"/>
          <w:color w:val="auto"/>
          <w:sz w:val="28"/>
          <w:szCs w:val="28"/>
        </w:rPr>
        <w:t>或其它权益全部归甲方所有，未经甲方事先书面同意，乙方不得为本合同之外的目的自行使用或擅自许可任何第三方使用，也不得向任何第三方披露。</w:t>
      </w:r>
    </w:p>
    <w:p w14:paraId="1D930483">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9.3</w:t>
      </w:r>
      <w:r>
        <w:rPr>
          <w:rFonts w:hint="eastAsia" w:ascii="仿宋" w:hAnsi="仿宋" w:eastAsia="仿宋" w:cs="仿宋"/>
          <w:color w:val="auto"/>
          <w:sz w:val="28"/>
          <w:szCs w:val="28"/>
        </w:rPr>
        <w:t>乙方依据甲方拥有知识产权的业务规范、标准和要求或者是利用甲方的系统、资料数据、平台、网络等资源开发的所有专利、软件及其数据或程序等成果以及形成的技术文档的知识产权和</w:t>
      </w:r>
      <w:r>
        <w:rPr>
          <w:rFonts w:ascii="仿宋" w:hAnsi="仿宋" w:eastAsia="仿宋" w:cs="仿宋"/>
          <w:color w:val="auto"/>
          <w:sz w:val="28"/>
          <w:szCs w:val="28"/>
        </w:rPr>
        <w:t>/</w:t>
      </w:r>
      <w:r>
        <w:rPr>
          <w:rFonts w:hint="eastAsia" w:ascii="仿宋" w:hAnsi="仿宋" w:eastAsia="仿宋" w:cs="仿宋"/>
          <w:color w:val="auto"/>
          <w:sz w:val="28"/>
          <w:szCs w:val="28"/>
        </w:rPr>
        <w:t>或其它权益归甲方所有。</w:t>
      </w:r>
    </w:p>
    <w:p w14:paraId="38118ADD">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9.4</w:t>
      </w:r>
      <w:r>
        <w:rPr>
          <w:rFonts w:hint="eastAsia" w:ascii="仿宋" w:hAnsi="仿宋" w:eastAsia="仿宋" w:cs="仿宋"/>
          <w:color w:val="auto"/>
          <w:sz w:val="28"/>
          <w:szCs w:val="28"/>
        </w:rPr>
        <w:t>甲方有权为自身运营的目的对乙方提供的专利、软件、文档、数据模型、类库等进行再开发，再开发成果的知识产权和</w:t>
      </w:r>
      <w:r>
        <w:rPr>
          <w:rFonts w:ascii="仿宋" w:hAnsi="仿宋" w:eastAsia="仿宋" w:cs="仿宋"/>
          <w:color w:val="auto"/>
          <w:sz w:val="28"/>
          <w:szCs w:val="28"/>
        </w:rPr>
        <w:t>/</w:t>
      </w:r>
      <w:r>
        <w:rPr>
          <w:rFonts w:hint="eastAsia" w:ascii="仿宋" w:hAnsi="仿宋" w:eastAsia="仿宋" w:cs="仿宋"/>
          <w:color w:val="auto"/>
          <w:sz w:val="28"/>
          <w:szCs w:val="28"/>
        </w:rPr>
        <w:t>或其它权益归甲方所有，乙方有义务配合甲方的上述再开发工作。</w:t>
      </w:r>
    </w:p>
    <w:p w14:paraId="24533C20">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9.5</w:t>
      </w:r>
      <w:r>
        <w:rPr>
          <w:rFonts w:hint="eastAsia" w:ascii="仿宋" w:hAnsi="仿宋" w:eastAsia="仿宋" w:cs="仿宋"/>
          <w:color w:val="auto"/>
          <w:sz w:val="28"/>
          <w:szCs w:val="28"/>
        </w:rPr>
        <w:t>乙方保证其对本合同的履行以及提供的服务不会侵犯任何第三方的知识产权和</w:t>
      </w:r>
      <w:r>
        <w:rPr>
          <w:rFonts w:ascii="仿宋" w:hAnsi="仿宋" w:eastAsia="仿宋" w:cs="仿宋"/>
          <w:color w:val="auto"/>
          <w:sz w:val="28"/>
          <w:szCs w:val="28"/>
        </w:rPr>
        <w:t>/</w:t>
      </w:r>
      <w:r>
        <w:rPr>
          <w:rFonts w:hint="eastAsia" w:ascii="仿宋" w:hAnsi="仿宋" w:eastAsia="仿宋" w:cs="仿宋"/>
          <w:color w:val="auto"/>
          <w:sz w:val="28"/>
          <w:szCs w:val="28"/>
        </w:rPr>
        <w:t>或其他合法权益。乙方承诺由于其侵权而引起的一切法律责任均由其承担。如果甲方因乙方侵犯第三方合法权利而涉入诉讼、索赔或其他司法程序（以下称“侵权诉讼”），乙方同意按照以下规定进行处理和赔偿：</w:t>
      </w:r>
    </w:p>
    <w:p w14:paraId="5FFA27B2">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9.5.1</w:t>
      </w:r>
      <w:r>
        <w:rPr>
          <w:rFonts w:hint="eastAsia" w:ascii="仿宋" w:hAnsi="仿宋" w:eastAsia="仿宋" w:cs="仿宋"/>
          <w:color w:val="auto"/>
          <w:sz w:val="28"/>
          <w:szCs w:val="28"/>
        </w:rPr>
        <w:t>乙方应当在收到甲方通知后，迅速指派代表为甲方的权益参与上述第三方提起的侵权诉讼，乙方应在上述侵权诉讼进行过程中就诉讼策略及其他事宜向甲方提供必要的支持与协助，并承担所产生的一切诉讼费用、律师费用、差旅费用、和解金额或生效法律文书中规定的损害赔偿金额等费用。</w:t>
      </w:r>
    </w:p>
    <w:p w14:paraId="5821A473">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9.5.2</w:t>
      </w:r>
      <w:r>
        <w:rPr>
          <w:rFonts w:hint="eastAsia" w:ascii="仿宋" w:hAnsi="仿宋" w:eastAsia="仿宋" w:cs="仿宋"/>
          <w:color w:val="auto"/>
          <w:sz w:val="28"/>
          <w:szCs w:val="28"/>
        </w:rPr>
        <w:t>甲方有权按照本合同关于违约责任的规定要求乙方承担违约责任。</w:t>
      </w:r>
    </w:p>
    <w:p w14:paraId="7DBBBCDF">
      <w:pPr>
        <w:keepNext w:val="0"/>
        <w:keepLines w:val="0"/>
        <w:pageBreakBefore w:val="0"/>
        <w:widowControl w:val="0"/>
        <w:tabs>
          <w:tab w:val="left" w:pos="284"/>
        </w:tabs>
        <w:kinsoku/>
        <w:wordWrap/>
        <w:overflowPunct/>
        <w:topLinePunct w:val="0"/>
        <w:autoSpaceDE/>
        <w:autoSpaceDN/>
        <w:bidi w:val="0"/>
        <w:adjustRightInd/>
        <w:snapToGrid/>
        <w:spacing w:after="0"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9.6</w:t>
      </w:r>
      <w:r>
        <w:rPr>
          <w:rFonts w:hint="eastAsia" w:ascii="仿宋" w:hAnsi="仿宋" w:eastAsia="仿宋" w:cs="仿宋"/>
          <w:color w:val="auto"/>
          <w:sz w:val="28"/>
          <w:szCs w:val="28"/>
        </w:rPr>
        <w:t>如果在上述侵权诉讼中生效法律文书认定甲方构成侵权，禁止甲方继续使用相关成果（或其知识产权和</w:t>
      </w:r>
      <w:r>
        <w:rPr>
          <w:rFonts w:ascii="仿宋" w:hAnsi="仿宋" w:eastAsia="仿宋" w:cs="仿宋"/>
          <w:color w:val="auto"/>
          <w:sz w:val="28"/>
          <w:szCs w:val="28"/>
        </w:rPr>
        <w:t>/</w:t>
      </w:r>
      <w:r>
        <w:rPr>
          <w:rFonts w:hint="eastAsia" w:ascii="仿宋" w:hAnsi="仿宋" w:eastAsia="仿宋" w:cs="仿宋"/>
          <w:color w:val="auto"/>
          <w:sz w:val="28"/>
          <w:szCs w:val="28"/>
        </w:rPr>
        <w:t>或其它权益）的一部分或全部，或应向第三方权利人支付使用费用，乙方应按甲方的要求采取以下措施之一：</w:t>
      </w:r>
    </w:p>
    <w:p w14:paraId="11CB15FE">
      <w:pPr>
        <w:keepNext w:val="0"/>
        <w:keepLines w:val="0"/>
        <w:pageBreakBefore w:val="0"/>
        <w:widowControl w:val="0"/>
        <w:tabs>
          <w:tab w:val="left" w:pos="284"/>
        </w:tabs>
        <w:kinsoku/>
        <w:wordWrap/>
        <w:overflowPunct/>
        <w:topLinePunct w:val="0"/>
        <w:autoSpaceDE/>
        <w:autoSpaceDN/>
        <w:bidi w:val="0"/>
        <w:snapToGrid/>
        <w:spacing w:line="240" w:lineRule="auto"/>
        <w:ind w:firstLine="560" w:firstLineChars="200"/>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w:t>
      </w:r>
      <w:r>
        <w:rPr>
          <w:rFonts w:ascii="仿宋" w:hAnsi="仿宋" w:eastAsia="仿宋" w:cs="仿宋"/>
          <w:color w:val="auto"/>
          <w:sz w:val="28"/>
          <w:szCs w:val="28"/>
        </w:rPr>
        <w:t>1</w:t>
      </w:r>
      <w:r>
        <w:rPr>
          <w:rFonts w:hint="eastAsia" w:ascii="仿宋" w:hAnsi="仿宋" w:eastAsia="仿宋" w:cs="仿宋"/>
          <w:color w:val="auto"/>
          <w:sz w:val="28"/>
          <w:szCs w:val="28"/>
        </w:rPr>
        <w:t>）使甲方重新获得合法使用上述成果（或其知识产权和</w:t>
      </w:r>
      <w:r>
        <w:rPr>
          <w:rFonts w:ascii="仿宋" w:hAnsi="仿宋" w:eastAsia="仿宋" w:cs="仿宋"/>
          <w:color w:val="auto"/>
          <w:sz w:val="28"/>
          <w:szCs w:val="28"/>
        </w:rPr>
        <w:t>/</w:t>
      </w:r>
      <w:r>
        <w:rPr>
          <w:rFonts w:hint="eastAsia" w:ascii="仿宋" w:hAnsi="仿宋" w:eastAsia="仿宋" w:cs="仿宋"/>
          <w:color w:val="auto"/>
          <w:sz w:val="28"/>
          <w:szCs w:val="28"/>
        </w:rPr>
        <w:t>或其它权益）的权利，乙方应承担因此产生的全部费用；</w:t>
      </w:r>
    </w:p>
    <w:p w14:paraId="130D4D8F">
      <w:pPr>
        <w:keepNext w:val="0"/>
        <w:keepLines w:val="0"/>
        <w:pageBreakBefore w:val="0"/>
        <w:widowControl w:val="0"/>
        <w:tabs>
          <w:tab w:val="left" w:pos="284"/>
        </w:tabs>
        <w:kinsoku/>
        <w:wordWrap/>
        <w:overflowPunct/>
        <w:topLinePunct w:val="0"/>
        <w:autoSpaceDE/>
        <w:autoSpaceDN/>
        <w:bidi w:val="0"/>
        <w:snapToGrid/>
        <w:spacing w:line="240" w:lineRule="auto"/>
        <w:ind w:firstLine="560" w:firstLineChars="200"/>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w:t>
      </w:r>
      <w:r>
        <w:rPr>
          <w:rFonts w:ascii="仿宋" w:hAnsi="仿宋" w:eastAsia="仿宋" w:cs="仿宋"/>
          <w:color w:val="auto"/>
          <w:sz w:val="28"/>
          <w:szCs w:val="28"/>
        </w:rPr>
        <w:t>2</w:t>
      </w:r>
      <w:r>
        <w:rPr>
          <w:rFonts w:hint="eastAsia" w:ascii="仿宋" w:hAnsi="仿宋" w:eastAsia="仿宋" w:cs="仿宋"/>
          <w:color w:val="auto"/>
          <w:sz w:val="28"/>
          <w:szCs w:val="28"/>
        </w:rPr>
        <w:t>）在甲方要求的合理期限内对上述成果（或其知识产权和</w:t>
      </w:r>
      <w:r>
        <w:rPr>
          <w:rFonts w:ascii="仿宋" w:hAnsi="仿宋" w:eastAsia="仿宋" w:cs="仿宋"/>
          <w:color w:val="auto"/>
          <w:sz w:val="28"/>
          <w:szCs w:val="28"/>
        </w:rPr>
        <w:t>/</w:t>
      </w:r>
      <w:r>
        <w:rPr>
          <w:rFonts w:hint="eastAsia" w:ascii="仿宋" w:hAnsi="仿宋" w:eastAsia="仿宋" w:cs="仿宋"/>
          <w:color w:val="auto"/>
          <w:sz w:val="28"/>
          <w:szCs w:val="28"/>
        </w:rPr>
        <w:t>或其它权益）进行修改或更换，以使甲方的使用不受上述法律文书限制，采取以上措施所发生的一切费用均由乙方承担；</w:t>
      </w:r>
    </w:p>
    <w:p w14:paraId="01C45DF7">
      <w:pPr>
        <w:keepNext w:val="0"/>
        <w:keepLines w:val="0"/>
        <w:pageBreakBefore w:val="0"/>
        <w:widowControl w:val="0"/>
        <w:tabs>
          <w:tab w:val="left" w:pos="284"/>
        </w:tabs>
        <w:kinsoku/>
        <w:wordWrap/>
        <w:overflowPunct/>
        <w:topLinePunct w:val="0"/>
        <w:autoSpaceDE/>
        <w:autoSpaceDN/>
        <w:bidi w:val="0"/>
        <w:snapToGrid/>
        <w:spacing w:line="240" w:lineRule="auto"/>
        <w:ind w:firstLine="560" w:firstLineChars="200"/>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w:t>
      </w:r>
      <w:r>
        <w:rPr>
          <w:rFonts w:ascii="仿宋" w:hAnsi="仿宋" w:eastAsia="仿宋" w:cs="仿宋"/>
          <w:color w:val="auto"/>
          <w:sz w:val="28"/>
          <w:szCs w:val="28"/>
        </w:rPr>
        <w:t>3</w:t>
      </w:r>
      <w:r>
        <w:rPr>
          <w:rFonts w:hint="eastAsia" w:ascii="仿宋" w:hAnsi="仿宋" w:eastAsia="仿宋" w:cs="仿宋"/>
          <w:color w:val="auto"/>
          <w:sz w:val="28"/>
          <w:szCs w:val="28"/>
        </w:rPr>
        <w:t>）若上述成果（或其知识产权和</w:t>
      </w:r>
      <w:r>
        <w:rPr>
          <w:rFonts w:ascii="仿宋" w:hAnsi="仿宋" w:eastAsia="仿宋" w:cs="仿宋"/>
          <w:color w:val="auto"/>
          <w:sz w:val="28"/>
          <w:szCs w:val="28"/>
        </w:rPr>
        <w:t>/</w:t>
      </w:r>
      <w:r>
        <w:rPr>
          <w:rFonts w:hint="eastAsia" w:ascii="仿宋" w:hAnsi="仿宋" w:eastAsia="仿宋" w:cs="仿宋"/>
          <w:color w:val="auto"/>
          <w:sz w:val="28"/>
          <w:szCs w:val="28"/>
        </w:rPr>
        <w:t>或其它权益）有其他同型同质的替代物可供使用，则经甲方同意，乙方亦可收回上述成果（或其知识产权和</w:t>
      </w:r>
      <w:r>
        <w:rPr>
          <w:rFonts w:ascii="仿宋" w:hAnsi="仿宋" w:eastAsia="仿宋" w:cs="仿宋"/>
          <w:color w:val="auto"/>
          <w:sz w:val="28"/>
          <w:szCs w:val="28"/>
        </w:rPr>
        <w:t>/</w:t>
      </w:r>
      <w:r>
        <w:rPr>
          <w:rFonts w:hint="eastAsia" w:ascii="仿宋" w:hAnsi="仿宋" w:eastAsia="仿宋" w:cs="仿宋"/>
          <w:color w:val="auto"/>
          <w:sz w:val="28"/>
          <w:szCs w:val="28"/>
        </w:rPr>
        <w:t>或其它权益）及相关技术文件，并将相应合同价款返还给甲方，对甲方由此遭受的损失及购</w:t>
      </w:r>
      <w:r>
        <w:rPr>
          <w:rFonts w:hint="eastAsia" w:ascii="仿宋" w:hAnsi="仿宋" w:eastAsia="仿宋" w:cs="仿宋"/>
          <w:color w:val="auto"/>
          <w:sz w:val="28"/>
          <w:szCs w:val="28"/>
          <w:lang w:val="en-US" w:eastAsia="zh-CN"/>
        </w:rPr>
        <w:t>买</w:t>
      </w:r>
      <w:r>
        <w:rPr>
          <w:rFonts w:hint="eastAsia" w:ascii="仿宋" w:hAnsi="仿宋" w:eastAsia="仿宋" w:cs="仿宋"/>
          <w:color w:val="auto"/>
          <w:sz w:val="28"/>
          <w:szCs w:val="28"/>
        </w:rPr>
        <w:t>上述替代物而支出的费用，乙方应予以承担；</w:t>
      </w:r>
    </w:p>
    <w:p w14:paraId="552B6C1C">
      <w:pPr>
        <w:keepNext w:val="0"/>
        <w:keepLines w:val="0"/>
        <w:pageBreakBefore w:val="0"/>
        <w:widowControl w:val="0"/>
        <w:tabs>
          <w:tab w:val="left" w:pos="284"/>
        </w:tabs>
        <w:kinsoku/>
        <w:wordWrap/>
        <w:overflowPunct/>
        <w:topLinePunct w:val="0"/>
        <w:autoSpaceDE/>
        <w:autoSpaceDN/>
        <w:bidi w:val="0"/>
        <w:snapToGrid/>
        <w:spacing w:line="240" w:lineRule="auto"/>
        <w:ind w:firstLine="560" w:firstLineChars="200"/>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w:t>
      </w:r>
      <w:r>
        <w:rPr>
          <w:rFonts w:ascii="仿宋" w:hAnsi="仿宋" w:eastAsia="仿宋" w:cs="仿宋"/>
          <w:color w:val="auto"/>
          <w:sz w:val="28"/>
          <w:szCs w:val="28"/>
        </w:rPr>
        <w:t>4</w:t>
      </w:r>
      <w:r>
        <w:rPr>
          <w:rFonts w:hint="eastAsia" w:ascii="仿宋" w:hAnsi="仿宋" w:eastAsia="仿宋" w:cs="仿宋"/>
          <w:color w:val="auto"/>
          <w:sz w:val="28"/>
          <w:szCs w:val="28"/>
        </w:rPr>
        <w:t>）如果法律文书生效后，甲方完全不可能继续使用上述成果（或其知识产权和</w:t>
      </w:r>
      <w:r>
        <w:rPr>
          <w:rFonts w:ascii="仿宋" w:hAnsi="仿宋" w:eastAsia="仿宋" w:cs="仿宋"/>
          <w:color w:val="auto"/>
          <w:sz w:val="28"/>
          <w:szCs w:val="28"/>
        </w:rPr>
        <w:t>/</w:t>
      </w:r>
      <w:r>
        <w:rPr>
          <w:rFonts w:hint="eastAsia" w:ascii="仿宋" w:hAnsi="仿宋" w:eastAsia="仿宋" w:cs="仿宋"/>
          <w:color w:val="auto"/>
          <w:sz w:val="28"/>
          <w:szCs w:val="28"/>
        </w:rPr>
        <w:t>或其它权益），乙方应赔偿因此给甲方造成的损失</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并承担相应的违约责任</w:t>
      </w:r>
      <w:r>
        <w:rPr>
          <w:rFonts w:hint="eastAsia" w:ascii="仿宋" w:hAnsi="仿宋" w:eastAsia="仿宋" w:cs="仿宋"/>
          <w:color w:val="auto"/>
          <w:sz w:val="28"/>
          <w:szCs w:val="28"/>
        </w:rPr>
        <w:t>。</w:t>
      </w:r>
    </w:p>
    <w:p w14:paraId="2549DF1F">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rPr>
      </w:pPr>
      <w:bookmarkStart w:id="15" w:name="_Toc333174980"/>
      <w:r>
        <w:rPr>
          <w:rFonts w:hint="eastAsia" w:ascii="仿宋" w:hAnsi="仿宋" w:eastAsia="仿宋" w:cs="仿宋"/>
          <w:b/>
          <w:bCs/>
          <w:color w:val="auto"/>
          <w:sz w:val="28"/>
          <w:szCs w:val="28"/>
        </w:rPr>
        <w:t>第十条  保密</w:t>
      </w:r>
      <w:bookmarkEnd w:id="13"/>
      <w:bookmarkEnd w:id="14"/>
      <w:bookmarkEnd w:id="15"/>
      <w:r>
        <w:rPr>
          <w:rFonts w:hint="eastAsia" w:ascii="仿宋" w:hAnsi="仿宋" w:eastAsia="仿宋" w:cs="仿宋"/>
          <w:b/>
          <w:bCs/>
          <w:color w:val="auto"/>
          <w:sz w:val="28"/>
          <w:szCs w:val="28"/>
        </w:rPr>
        <w:t>责任</w:t>
      </w:r>
    </w:p>
    <w:p w14:paraId="5060B7C0">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10.1</w:t>
      </w:r>
      <w:r>
        <w:rPr>
          <w:rFonts w:hint="eastAsia" w:ascii="仿宋" w:hAnsi="仿宋" w:eastAsia="仿宋" w:cs="仿宋"/>
          <w:color w:val="auto"/>
          <w:sz w:val="28"/>
          <w:szCs w:val="28"/>
        </w:rPr>
        <w:t>本合同拥有信息的一方（“提供方”）根据本合同向另一方（“接受方”）提供的信息，以及接受方在合同履行过程中知悉的提供方的信息，包括但不限于技术性信息、商业性信息、文件、程序、计划、技术、图表、模型、参数、数据、标准、专有技术、业务或业务运作方法以及其他专有信息，本合同的条款和与本合同有关的其他商业信息和技术信息</w:t>
      </w:r>
      <w:r>
        <w:rPr>
          <w:rFonts w:ascii="仿宋" w:hAnsi="仿宋" w:eastAsia="仿宋" w:cs="仿宋"/>
          <w:color w:val="auto"/>
          <w:sz w:val="28"/>
          <w:szCs w:val="28"/>
        </w:rPr>
        <w:t>(</w:t>
      </w:r>
      <w:r>
        <w:rPr>
          <w:rFonts w:hint="eastAsia" w:ascii="仿宋" w:hAnsi="仿宋" w:eastAsia="仿宋" w:cs="仿宋"/>
          <w:color w:val="auto"/>
          <w:sz w:val="28"/>
          <w:szCs w:val="28"/>
        </w:rPr>
        <w:t>以下统称“保密信息”</w:t>
      </w:r>
      <w:r>
        <w:rPr>
          <w:rFonts w:ascii="仿宋" w:hAnsi="仿宋" w:eastAsia="仿宋" w:cs="仿宋"/>
          <w:color w:val="auto"/>
          <w:sz w:val="28"/>
          <w:szCs w:val="28"/>
        </w:rPr>
        <w:t>)</w:t>
      </w:r>
      <w:r>
        <w:rPr>
          <w:rFonts w:hint="eastAsia" w:ascii="仿宋" w:hAnsi="仿宋" w:eastAsia="仿宋" w:cs="仿宋"/>
          <w:color w:val="auto"/>
          <w:sz w:val="28"/>
          <w:szCs w:val="28"/>
        </w:rPr>
        <w:t>，只能由接受方及其人员为本合同目的而使用。除本合同另有规定外，对于提供方提供的任何保密信息，未经提供方的书面同意，接受方及其知悉保密信息的人员均不得直接或间接地以任何方式提供或披露给任何第三方。</w:t>
      </w:r>
    </w:p>
    <w:p w14:paraId="2DD76D84">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10.2</w:t>
      </w:r>
      <w:r>
        <w:rPr>
          <w:rFonts w:hint="eastAsia" w:ascii="仿宋" w:hAnsi="仿宋" w:eastAsia="仿宋" w:cs="仿宋"/>
          <w:color w:val="auto"/>
          <w:sz w:val="28"/>
          <w:szCs w:val="28"/>
        </w:rPr>
        <w:t>提供方向接受方提供或披露的保密信息，仅可由接受方为执行本合同需要披露给指定的雇员，并且仅在为执行本合同所需的范围内进行该等披露；但是，接受方在采取一切合理的预防措施之前，不得向其雇员披露任何保密信息，该等预防措施包括但不限于告知该等雇员将要披露信息的保密性质，由该等雇员做出至少与本合同保密义务一样严格的保密承诺等，以防止该等雇员为个人利益使用保密信息或向任何第三方做出未经授权的任何披露。接受方雇员违反保密义务的，视为接受方违反保密义务。</w:t>
      </w:r>
    </w:p>
    <w:p w14:paraId="39FD5C87">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10.3</w:t>
      </w:r>
      <w:r>
        <w:rPr>
          <w:rFonts w:hint="eastAsia" w:ascii="仿宋" w:hAnsi="仿宋" w:eastAsia="仿宋" w:cs="仿宋"/>
          <w:color w:val="auto"/>
          <w:sz w:val="28"/>
          <w:szCs w:val="28"/>
        </w:rPr>
        <w:t>接受方的律师、会计师、承包商和顾问为提供专业协助而需要了解保密信息时，接受方可向其披露保密信息，但是，其应要求上述人员签订保密协议或按照有关职业道德标准履行保密义务。</w:t>
      </w:r>
    </w:p>
    <w:p w14:paraId="4D0D5EA7">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10.4</w:t>
      </w:r>
      <w:r>
        <w:rPr>
          <w:rFonts w:hint="eastAsia" w:ascii="仿宋" w:hAnsi="仿宋" w:eastAsia="仿宋" w:cs="仿宋"/>
          <w:color w:val="auto"/>
          <w:sz w:val="28"/>
          <w:szCs w:val="28"/>
        </w:rPr>
        <w:t>如相关政府部门或监管机构要求接受方披露任何保密信息，接受方可在该政府部门或机构要求的范围内做出披露而无需承担本合同项下的责任。但前提是，该接受方应立即将需披露的信息书面通知提供方，以便提供方采取必要的保护措施，且该等通知应尽可能在信息披露前做出，并且接受方应尽商业上合理的努力确保该等被披露的信息获得有关政府机关或机构的保密待遇。</w:t>
      </w:r>
    </w:p>
    <w:p w14:paraId="36673687">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10.5</w:t>
      </w:r>
      <w:r>
        <w:rPr>
          <w:rFonts w:hint="eastAsia" w:ascii="仿宋" w:hAnsi="仿宋" w:eastAsia="仿宋" w:cs="仿宋"/>
          <w:color w:val="auto"/>
          <w:sz w:val="28"/>
          <w:szCs w:val="28"/>
        </w:rPr>
        <w:t>在任何情形下，本条所规定的保密义务应永久持续有效。</w:t>
      </w:r>
    </w:p>
    <w:p w14:paraId="0C6909F3">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10.6</w:t>
      </w:r>
      <w:r>
        <w:rPr>
          <w:rFonts w:hint="eastAsia" w:ascii="仿宋" w:hAnsi="仿宋" w:eastAsia="仿宋" w:cs="仿宋"/>
          <w:color w:val="auto"/>
          <w:sz w:val="28"/>
          <w:szCs w:val="28"/>
        </w:rPr>
        <w:t>本条规定的保密义务对以下信息不适用：</w:t>
      </w:r>
    </w:p>
    <w:p w14:paraId="228BC271">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10.6.1</w:t>
      </w:r>
      <w:r>
        <w:rPr>
          <w:rFonts w:hint="eastAsia" w:ascii="仿宋" w:hAnsi="仿宋" w:eastAsia="仿宋" w:cs="仿宋"/>
          <w:color w:val="auto"/>
          <w:sz w:val="28"/>
          <w:szCs w:val="28"/>
        </w:rPr>
        <w:t>在一方披露时，已经是公众所知的信息，或者在披露后，并非由于接受方或其雇员、律师、会计师、承包商、顾问或者其他人员的过失而成为公众所知的信息；</w:t>
      </w:r>
    </w:p>
    <w:p w14:paraId="020F7CE6">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10.6.2</w:t>
      </w:r>
      <w:r>
        <w:rPr>
          <w:rFonts w:hint="eastAsia" w:ascii="仿宋" w:hAnsi="仿宋" w:eastAsia="仿宋" w:cs="仿宋"/>
          <w:color w:val="auto"/>
          <w:sz w:val="28"/>
          <w:szCs w:val="28"/>
        </w:rPr>
        <w:t>有书面证据证明在披露时已经由接受方掌握的信息，而且信息并非直接或间接来自提供方；</w:t>
      </w:r>
    </w:p>
    <w:p w14:paraId="69758890">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10.6.3</w:t>
      </w:r>
      <w:r>
        <w:rPr>
          <w:rFonts w:hint="eastAsia" w:ascii="仿宋" w:hAnsi="仿宋" w:eastAsia="仿宋" w:cs="仿宋"/>
          <w:color w:val="auto"/>
          <w:sz w:val="28"/>
          <w:szCs w:val="28"/>
        </w:rPr>
        <w:t>有书面证据证明第三方已向接受方披露的信息，而该第三方并不负有保密义务，并且有权做出披露。</w:t>
      </w:r>
    </w:p>
    <w:p w14:paraId="3ADDAAC6">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10.7</w:t>
      </w:r>
      <w:r>
        <w:rPr>
          <w:rFonts w:hint="eastAsia" w:ascii="仿宋" w:hAnsi="仿宋" w:eastAsia="仿宋" w:cs="仿宋"/>
          <w:color w:val="auto"/>
          <w:sz w:val="28"/>
          <w:szCs w:val="28"/>
        </w:rPr>
        <w:t>当本合同解除或终止时，接受方应立即停止使用且不得许可第三方使用提供方的保密信息，同时，接受方应按照提供方的书面要求，将提供方提供的保密信息退还提供方或予以删除或销毁。</w:t>
      </w:r>
    </w:p>
    <w:p w14:paraId="09DA6DBB">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hint="eastAsia" w:ascii="仿宋" w:hAnsi="仿宋" w:eastAsia="仿宋" w:cs="仿宋"/>
          <w:b/>
          <w:bCs/>
          <w:color w:val="auto"/>
          <w:sz w:val="28"/>
          <w:szCs w:val="28"/>
        </w:rPr>
      </w:pPr>
      <w:bookmarkStart w:id="16" w:name="_Toc333174981"/>
      <w:bookmarkStart w:id="17" w:name="_Toc48999884"/>
      <w:bookmarkStart w:id="18" w:name="_Toc48999696"/>
      <w:r>
        <w:rPr>
          <w:rFonts w:hint="eastAsia" w:ascii="仿宋" w:hAnsi="仿宋" w:eastAsia="仿宋" w:cs="仿宋"/>
          <w:b/>
          <w:bCs/>
          <w:color w:val="auto"/>
          <w:sz w:val="28"/>
          <w:szCs w:val="28"/>
        </w:rPr>
        <w:t>第十一条  承诺与保证</w:t>
      </w:r>
      <w:bookmarkEnd w:id="16"/>
      <w:bookmarkEnd w:id="17"/>
      <w:bookmarkEnd w:id="18"/>
    </w:p>
    <w:p w14:paraId="39AC36ED">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11.1</w:t>
      </w:r>
      <w:r>
        <w:rPr>
          <w:rFonts w:hint="eastAsia" w:ascii="仿宋" w:hAnsi="仿宋" w:eastAsia="仿宋" w:cs="仿宋"/>
          <w:color w:val="auto"/>
          <w:sz w:val="28"/>
          <w:szCs w:val="28"/>
        </w:rPr>
        <w:t>乙方承诺：乙方拥有合法销售本合同标的的全部政府许可、生产和</w:t>
      </w:r>
      <w:r>
        <w:rPr>
          <w:rFonts w:ascii="仿宋" w:hAnsi="仿宋" w:eastAsia="仿宋" w:cs="仿宋"/>
          <w:color w:val="auto"/>
          <w:sz w:val="28"/>
          <w:szCs w:val="28"/>
        </w:rPr>
        <w:t>/</w:t>
      </w:r>
      <w:r>
        <w:rPr>
          <w:rFonts w:hint="eastAsia" w:ascii="仿宋" w:hAnsi="仿宋" w:eastAsia="仿宋" w:cs="仿宋"/>
          <w:color w:val="auto"/>
          <w:sz w:val="28"/>
          <w:szCs w:val="28"/>
        </w:rPr>
        <w:t>或使用许可和</w:t>
      </w:r>
      <w:r>
        <w:rPr>
          <w:rFonts w:ascii="仿宋" w:hAnsi="仿宋" w:eastAsia="仿宋" w:cs="仿宋"/>
          <w:color w:val="auto"/>
          <w:sz w:val="28"/>
          <w:szCs w:val="28"/>
        </w:rPr>
        <w:t>/</w:t>
      </w:r>
      <w:r>
        <w:rPr>
          <w:rFonts w:hint="eastAsia" w:ascii="仿宋" w:hAnsi="仿宋" w:eastAsia="仿宋" w:cs="仿宋"/>
          <w:color w:val="auto"/>
          <w:sz w:val="28"/>
          <w:szCs w:val="28"/>
        </w:rPr>
        <w:t>或授权，对其所销售的标的拥有完全的排他的所有权和</w:t>
      </w:r>
      <w:r>
        <w:rPr>
          <w:rFonts w:ascii="仿宋" w:hAnsi="仿宋" w:eastAsia="仿宋" w:cs="仿宋"/>
          <w:color w:val="auto"/>
          <w:sz w:val="28"/>
          <w:szCs w:val="28"/>
        </w:rPr>
        <w:t>/</w:t>
      </w:r>
      <w:r>
        <w:rPr>
          <w:rFonts w:hint="eastAsia" w:ascii="仿宋" w:hAnsi="仿宋" w:eastAsia="仿宋" w:cs="仿宋"/>
          <w:color w:val="auto"/>
          <w:sz w:val="28"/>
          <w:szCs w:val="28"/>
        </w:rPr>
        <w:t>或知识产权，乙方销售本合同标的不会损害任何第三方的合法权益和社会公共利益。</w:t>
      </w:r>
    </w:p>
    <w:p w14:paraId="5E580D1C">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11.2</w:t>
      </w:r>
      <w:r>
        <w:rPr>
          <w:rFonts w:hint="eastAsia" w:ascii="仿宋" w:hAnsi="仿宋" w:eastAsia="仿宋" w:cs="仿宋"/>
          <w:color w:val="auto"/>
          <w:sz w:val="28"/>
          <w:szCs w:val="28"/>
        </w:rPr>
        <w:t>合同一方向另一方保证：作为一家依法成立并合法注册及有效存续的独立法人，具有签署本合同的合法主体资格，且在签署本合同时无任何法律障碍和重大事件影响其继续正常存续和履行本合同的能力。</w:t>
      </w:r>
    </w:p>
    <w:p w14:paraId="7A9AD9A8">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11.3</w:t>
      </w:r>
      <w:r>
        <w:rPr>
          <w:rFonts w:hint="eastAsia" w:ascii="仿宋" w:hAnsi="仿宋" w:eastAsia="仿宋" w:cs="仿宋"/>
          <w:color w:val="auto"/>
          <w:sz w:val="28"/>
          <w:szCs w:val="28"/>
        </w:rPr>
        <w:t>合同一方向另一方保证：指定的授权代表具有完全民事行为能力且已获得签署本合同所必须的书面授权，授权代表作为其委托代理人签署本合同并无任何法律障碍，对授权代表签署本合同的任何行为将予以认可，并不存在授权不明或超授权范围的情况，亦不存在任何因上述情况而可能导致合同无效或部分无效、被撤销的情况。</w:t>
      </w:r>
    </w:p>
    <w:p w14:paraId="676C7DAD">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11.4</w:t>
      </w:r>
      <w:r>
        <w:rPr>
          <w:rFonts w:hint="eastAsia" w:ascii="仿宋" w:hAnsi="仿宋" w:eastAsia="仿宋" w:cs="仿宋"/>
          <w:color w:val="auto"/>
          <w:sz w:val="28"/>
          <w:szCs w:val="28"/>
        </w:rPr>
        <w:t>乙方承诺：做好网络安全和信息安全工作，遵守国家与网络安全和信息安全相关的法律法规，遵守甲方与网络安全和信息安全相关的管理制度和规范，同时遵守以下规定：</w:t>
      </w:r>
    </w:p>
    <w:p w14:paraId="1417C689">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11.4.1</w:t>
      </w:r>
      <w:r>
        <w:rPr>
          <w:rFonts w:hint="eastAsia" w:ascii="仿宋" w:hAnsi="仿宋" w:eastAsia="仿宋" w:cs="仿宋"/>
          <w:color w:val="auto"/>
          <w:sz w:val="28"/>
          <w:szCs w:val="28"/>
        </w:rPr>
        <w:t>乙方保证不利用网络危害国家安全、泄露国家秘密，不侵犯国家、社会、集体和第三方的合法权益，不从事违法犯罪活动。</w:t>
      </w:r>
    </w:p>
    <w:p w14:paraId="6FC84385">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11.4.2</w:t>
      </w:r>
      <w:r>
        <w:rPr>
          <w:rFonts w:hint="eastAsia" w:ascii="仿宋" w:hAnsi="仿宋" w:eastAsia="仿宋" w:cs="仿宋"/>
          <w:color w:val="auto"/>
          <w:sz w:val="28"/>
          <w:szCs w:val="28"/>
        </w:rPr>
        <w:t>乙方承诺，健全本单位的各项网络安全和信息安全管理制度，落实各项安全保护技术措施，严格按照国家相关法律法规做好本单位的网络安全和信息安全工作。</w:t>
      </w:r>
    </w:p>
    <w:p w14:paraId="7E3BD607">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11.4.3</w:t>
      </w:r>
      <w:r>
        <w:rPr>
          <w:rFonts w:hint="eastAsia" w:ascii="仿宋" w:hAnsi="仿宋" w:eastAsia="仿宋" w:cs="仿宋"/>
          <w:color w:val="auto"/>
          <w:sz w:val="28"/>
          <w:szCs w:val="28"/>
        </w:rPr>
        <w:t>乙方承诺，在本合同履行过程中，若发生重大网络安全和信息安全事故时，立即采取应急措施，保留有关原始记录，并立即书面通知甲方。</w:t>
      </w:r>
    </w:p>
    <w:p w14:paraId="3FCA0A85">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11.4.4</w:t>
      </w:r>
      <w:r>
        <w:rPr>
          <w:rFonts w:hint="eastAsia" w:ascii="仿宋" w:hAnsi="仿宋" w:eastAsia="仿宋" w:cs="仿宋"/>
          <w:color w:val="auto"/>
          <w:sz w:val="28"/>
          <w:szCs w:val="28"/>
        </w:rPr>
        <w:t>乙方承诺，若违反国家与网络安全和信息安全相关的法律法规，由本单位承担相应法律责任，由此给甲方造成损失的，应予赔偿。</w:t>
      </w:r>
    </w:p>
    <w:p w14:paraId="3D2F763D">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11.5</w:t>
      </w:r>
      <w:r>
        <w:rPr>
          <w:rFonts w:hint="eastAsia" w:ascii="仿宋" w:hAnsi="仿宋" w:eastAsia="仿宋" w:cs="仿宋"/>
          <w:color w:val="auto"/>
          <w:sz w:val="28"/>
          <w:szCs w:val="28"/>
        </w:rPr>
        <w:t>乙方知晓并同意，甲方有权对乙方提供的服务进行评估，相关的评估结果可能会作为以后甲方相关采购工作的参考因素。</w:t>
      </w:r>
    </w:p>
    <w:p w14:paraId="154B7500">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11.6</w:t>
      </w:r>
      <w:r>
        <w:rPr>
          <w:rFonts w:hint="eastAsia" w:ascii="仿宋" w:hAnsi="仿宋" w:eastAsia="仿宋" w:cs="仿宋"/>
          <w:color w:val="auto"/>
          <w:sz w:val="28"/>
          <w:szCs w:val="28"/>
        </w:rPr>
        <w:t>乙方违反上述承诺或保证的，甲方有权以书面形式通知乙方终止本合同。</w:t>
      </w:r>
    </w:p>
    <w:p w14:paraId="0B6A2974">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ascii="仿宋" w:hAnsi="仿宋" w:eastAsia="仿宋" w:cs="仿宋"/>
          <w:b/>
          <w:bCs/>
          <w:color w:val="auto"/>
          <w:sz w:val="28"/>
          <w:szCs w:val="28"/>
        </w:rPr>
      </w:pPr>
      <w:bookmarkStart w:id="19" w:name="_Toc48999697"/>
      <w:bookmarkStart w:id="20" w:name="_Toc333174982"/>
      <w:bookmarkStart w:id="21" w:name="_Toc48999885"/>
      <w:r>
        <w:rPr>
          <w:rFonts w:hint="eastAsia" w:ascii="仿宋" w:hAnsi="仿宋" w:eastAsia="仿宋" w:cs="仿宋"/>
          <w:b/>
          <w:bCs/>
          <w:color w:val="auto"/>
          <w:sz w:val="28"/>
          <w:szCs w:val="28"/>
        </w:rPr>
        <w:t>第十二条</w:t>
      </w:r>
      <w:r>
        <w:rPr>
          <w:rFonts w:ascii="仿宋" w:hAnsi="仿宋" w:eastAsia="仿宋" w:cs="仿宋"/>
          <w:b/>
          <w:bCs/>
          <w:color w:val="auto"/>
          <w:sz w:val="28"/>
          <w:szCs w:val="28"/>
        </w:rPr>
        <w:t xml:space="preserve">  </w:t>
      </w:r>
      <w:r>
        <w:rPr>
          <w:rFonts w:hint="eastAsia" w:ascii="仿宋" w:hAnsi="仿宋" w:eastAsia="仿宋" w:cs="仿宋"/>
          <w:b/>
          <w:bCs/>
          <w:color w:val="auto"/>
          <w:sz w:val="28"/>
          <w:szCs w:val="28"/>
        </w:rPr>
        <w:t>违约责任</w:t>
      </w:r>
      <w:bookmarkEnd w:id="19"/>
      <w:bookmarkEnd w:id="20"/>
      <w:bookmarkEnd w:id="21"/>
    </w:p>
    <w:p w14:paraId="4B02EE09">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12.1</w:t>
      </w:r>
      <w:r>
        <w:rPr>
          <w:rFonts w:hint="eastAsia" w:ascii="仿宋" w:hAnsi="仿宋" w:eastAsia="仿宋" w:cs="仿宋"/>
          <w:color w:val="auto"/>
          <w:sz w:val="28"/>
          <w:szCs w:val="28"/>
        </w:rPr>
        <w:t>任何一方不履行本合同约定的义务或履行义务不符合本合同约定的，均构成违约，应承担违约责任。</w:t>
      </w:r>
    </w:p>
    <w:p w14:paraId="7DDACECB">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12.2</w:t>
      </w:r>
      <w:r>
        <w:rPr>
          <w:rFonts w:hint="eastAsia" w:ascii="仿宋" w:hAnsi="仿宋" w:eastAsia="仿宋" w:cs="仿宋"/>
          <w:color w:val="auto"/>
          <w:sz w:val="28"/>
          <w:szCs w:val="28"/>
        </w:rPr>
        <w:t>因乙方原因逾期提供服务或未在甲方要求的时间内将出现的问题解决完毕的，甲方有权单方解除合同，并要求乙方以如下方式向甲方支付逾期违约金：</w:t>
      </w:r>
    </w:p>
    <w:p w14:paraId="29179AA8">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12.2.1</w:t>
      </w:r>
      <w:r>
        <w:rPr>
          <w:rFonts w:hint="eastAsia" w:ascii="仿宋" w:hAnsi="仿宋" w:eastAsia="仿宋" w:cs="仿宋"/>
          <w:color w:val="auto"/>
          <w:sz w:val="28"/>
          <w:szCs w:val="28"/>
        </w:rPr>
        <w:t>从迟</w:t>
      </w:r>
      <w:r>
        <w:rPr>
          <w:rFonts w:hint="eastAsia" w:ascii="仿宋" w:hAnsi="仿宋" w:eastAsia="仿宋" w:cs="仿宋"/>
          <w:color w:val="auto"/>
          <w:sz w:val="28"/>
          <w:szCs w:val="28"/>
          <w:lang w:val="en-US" w:eastAsia="zh-CN"/>
        </w:rPr>
        <w:t>延</w:t>
      </w:r>
      <w:r>
        <w:rPr>
          <w:rFonts w:hint="eastAsia" w:ascii="仿宋" w:hAnsi="仿宋" w:eastAsia="仿宋" w:cs="仿宋"/>
          <w:color w:val="auto"/>
          <w:sz w:val="28"/>
          <w:szCs w:val="28"/>
        </w:rPr>
        <w:t>履行义务第一周起每迟一周支付合同</w:t>
      </w:r>
      <w:r>
        <w:rPr>
          <w:rFonts w:hint="eastAsia" w:ascii="仿宋" w:hAnsi="仿宋" w:eastAsia="仿宋" w:cs="仿宋"/>
          <w:color w:val="auto"/>
          <w:sz w:val="28"/>
          <w:szCs w:val="28"/>
          <w:lang w:val="en-US" w:eastAsia="zh-CN"/>
        </w:rPr>
        <w:t>暂计</w:t>
      </w:r>
      <w:r>
        <w:rPr>
          <w:rFonts w:hint="eastAsia" w:ascii="仿宋" w:hAnsi="仿宋" w:eastAsia="仿宋" w:cs="仿宋"/>
          <w:color w:val="auto"/>
          <w:sz w:val="28"/>
          <w:szCs w:val="28"/>
        </w:rPr>
        <w:t>总金额的千分之一作为违约金，最高不超过合同</w:t>
      </w:r>
      <w:r>
        <w:rPr>
          <w:rFonts w:hint="eastAsia" w:ascii="仿宋" w:hAnsi="仿宋" w:eastAsia="仿宋" w:cs="仿宋"/>
          <w:color w:val="auto"/>
          <w:sz w:val="28"/>
          <w:szCs w:val="28"/>
          <w:lang w:val="en-US" w:eastAsia="zh-CN"/>
        </w:rPr>
        <w:t>暂计</w:t>
      </w:r>
      <w:r>
        <w:rPr>
          <w:rFonts w:hint="eastAsia" w:ascii="仿宋" w:hAnsi="仿宋" w:eastAsia="仿宋" w:cs="仿宋"/>
          <w:color w:val="auto"/>
          <w:sz w:val="28"/>
          <w:szCs w:val="28"/>
        </w:rPr>
        <w:t>总金额的百分之二十；不够一周的时间计为一周。</w:t>
      </w:r>
    </w:p>
    <w:p w14:paraId="3CDCAEC9">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12.2.2</w:t>
      </w:r>
      <w:r>
        <w:rPr>
          <w:rFonts w:hint="eastAsia" w:ascii="仿宋" w:hAnsi="仿宋" w:eastAsia="仿宋" w:cs="仿宋"/>
          <w:color w:val="auto"/>
          <w:sz w:val="28"/>
          <w:szCs w:val="28"/>
        </w:rPr>
        <w:t>上述逾期违约金的支付不影响乙方服务义务的履行，且合同时间不因乙方迟延履行义务作任何调整；</w:t>
      </w:r>
    </w:p>
    <w:p w14:paraId="082EA448">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12.3</w:t>
      </w:r>
      <w:r>
        <w:rPr>
          <w:rFonts w:hint="eastAsia" w:ascii="仿宋" w:hAnsi="仿宋" w:eastAsia="仿宋" w:cs="仿宋"/>
          <w:color w:val="auto"/>
          <w:sz w:val="28"/>
          <w:szCs w:val="28"/>
        </w:rPr>
        <w:t>合同履行过程中，因乙方原因发生任何安全责任事故的，乙方应负责处理并承担相应责任。</w:t>
      </w:r>
    </w:p>
    <w:p w14:paraId="2F982BCD">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12.4</w:t>
      </w:r>
      <w:r>
        <w:rPr>
          <w:rFonts w:hint="eastAsia" w:ascii="仿宋" w:hAnsi="仿宋" w:eastAsia="仿宋" w:cs="仿宋"/>
          <w:color w:val="auto"/>
          <w:sz w:val="28"/>
          <w:szCs w:val="28"/>
        </w:rPr>
        <w:t>任何一方违反保密义务，应立即停止违约行为、采取措施减小违约造成的损失，并应向保密信息拥有方支付合同总价【</w:t>
      </w:r>
      <w:r>
        <w:rPr>
          <w:rFonts w:ascii="仿宋" w:hAnsi="仿宋" w:eastAsia="仿宋" w:cs="仿宋"/>
          <w:color w:val="auto"/>
          <w:sz w:val="28"/>
          <w:szCs w:val="28"/>
        </w:rPr>
        <w:t>20</w:t>
      </w:r>
      <w:r>
        <w:rPr>
          <w:rFonts w:hint="eastAsia" w:ascii="仿宋" w:hAnsi="仿宋" w:eastAsia="仿宋" w:cs="仿宋"/>
          <w:color w:val="auto"/>
          <w:sz w:val="28"/>
          <w:szCs w:val="28"/>
        </w:rPr>
        <w:t>】</w:t>
      </w:r>
      <w:r>
        <w:rPr>
          <w:rFonts w:ascii="仿宋" w:hAnsi="仿宋" w:eastAsia="仿宋" w:cs="仿宋"/>
          <w:color w:val="auto"/>
          <w:sz w:val="28"/>
          <w:szCs w:val="28"/>
        </w:rPr>
        <w:t>%</w:t>
      </w:r>
      <w:r>
        <w:rPr>
          <w:rFonts w:hint="eastAsia" w:ascii="仿宋" w:hAnsi="仿宋" w:eastAsia="仿宋" w:cs="仿宋"/>
          <w:color w:val="auto"/>
          <w:sz w:val="28"/>
          <w:szCs w:val="28"/>
        </w:rPr>
        <w:t>的违约金。上述违约金不足以弥补保密信息拥有方所受损失的，泄密方还应予以赔偿。</w:t>
      </w:r>
    </w:p>
    <w:p w14:paraId="4DE5D142">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hint="eastAsia" w:ascii="仿宋" w:hAnsi="仿宋" w:eastAsia="仿宋" w:cs="仿宋"/>
          <w:color w:val="auto"/>
          <w:sz w:val="28"/>
          <w:szCs w:val="28"/>
        </w:rPr>
      </w:pPr>
      <w:r>
        <w:rPr>
          <w:rFonts w:ascii="仿宋" w:hAnsi="仿宋" w:eastAsia="仿宋" w:cs="仿宋"/>
          <w:color w:val="auto"/>
          <w:sz w:val="28"/>
          <w:szCs w:val="28"/>
        </w:rPr>
        <w:t>12.5</w:t>
      </w:r>
      <w:r>
        <w:rPr>
          <w:rFonts w:hint="eastAsia" w:ascii="仿宋" w:hAnsi="仿宋" w:eastAsia="仿宋" w:cs="仿宋"/>
          <w:color w:val="auto"/>
          <w:sz w:val="28"/>
          <w:szCs w:val="28"/>
        </w:rPr>
        <w:t>乙方违反本合同知识产权条款，应按知识产权条款约定处理，并应向甲方支付合同总价【</w:t>
      </w:r>
      <w:r>
        <w:rPr>
          <w:rFonts w:ascii="仿宋" w:hAnsi="仿宋" w:eastAsia="仿宋" w:cs="仿宋"/>
          <w:color w:val="auto"/>
          <w:sz w:val="28"/>
          <w:szCs w:val="28"/>
        </w:rPr>
        <w:t>10</w:t>
      </w:r>
      <w:r>
        <w:rPr>
          <w:rFonts w:hint="eastAsia" w:ascii="仿宋" w:hAnsi="仿宋" w:eastAsia="仿宋" w:cs="仿宋"/>
          <w:color w:val="auto"/>
          <w:sz w:val="28"/>
          <w:szCs w:val="28"/>
        </w:rPr>
        <w:t>】</w:t>
      </w:r>
      <w:r>
        <w:rPr>
          <w:rFonts w:ascii="仿宋" w:hAnsi="仿宋" w:eastAsia="仿宋" w:cs="仿宋"/>
          <w:color w:val="auto"/>
          <w:sz w:val="28"/>
          <w:szCs w:val="28"/>
        </w:rPr>
        <w:t>%</w:t>
      </w:r>
      <w:r>
        <w:rPr>
          <w:rFonts w:hint="eastAsia" w:ascii="仿宋" w:hAnsi="仿宋" w:eastAsia="仿宋" w:cs="仿宋"/>
          <w:color w:val="auto"/>
          <w:sz w:val="28"/>
          <w:szCs w:val="28"/>
        </w:rPr>
        <w:t>的违约金。上述违约金不足以弥补甲方所受损失的，乙方还应予以赔偿。</w:t>
      </w:r>
    </w:p>
    <w:p w14:paraId="6B8FBE67">
      <w:pPr>
        <w:pStyle w:val="11"/>
        <w:keepNext w:val="0"/>
        <w:keepLines w:val="0"/>
        <w:pageBreakBefore w:val="0"/>
        <w:tabs>
          <w:tab w:val="left" w:pos="900"/>
        </w:tabs>
        <w:kinsoku/>
        <w:wordWrap/>
        <w:overflowPunct/>
        <w:topLinePunct w:val="0"/>
        <w:autoSpaceDE/>
        <w:autoSpaceDN/>
        <w:bidi w:val="0"/>
        <w:spacing w:afterLines="0" w:line="240" w:lineRule="auto"/>
        <w:ind w:firstLine="562" w:firstLineChars="200"/>
        <w:jc w:val="both"/>
        <w:textAlignment w:val="auto"/>
        <w:rPr>
          <w:rFonts w:ascii="仿宋" w:hAnsi="仿宋" w:eastAsia="仿宋" w:cs="仿宋"/>
          <w:b/>
          <w:color w:val="auto"/>
          <w:sz w:val="28"/>
          <w:szCs w:val="28"/>
        </w:rPr>
      </w:pPr>
      <w:bookmarkStart w:id="22" w:name="_Toc48999698"/>
      <w:bookmarkStart w:id="23" w:name="_Toc48999886"/>
      <w:bookmarkStart w:id="24" w:name="_Toc333174983"/>
      <w:r>
        <w:rPr>
          <w:rFonts w:hint="eastAsia" w:ascii="仿宋" w:hAnsi="仿宋" w:eastAsia="仿宋" w:cs="仿宋"/>
          <w:b/>
          <w:color w:val="auto"/>
          <w:sz w:val="28"/>
          <w:szCs w:val="28"/>
        </w:rPr>
        <w:t>第十三条</w:t>
      </w:r>
      <w:r>
        <w:rPr>
          <w:rFonts w:ascii="仿宋" w:hAnsi="仿宋" w:eastAsia="仿宋" w:cs="仿宋"/>
          <w:b/>
          <w:color w:val="auto"/>
          <w:sz w:val="28"/>
          <w:szCs w:val="28"/>
        </w:rPr>
        <w:t xml:space="preserve">  </w:t>
      </w:r>
      <w:r>
        <w:rPr>
          <w:rFonts w:hint="eastAsia" w:ascii="仿宋" w:hAnsi="仿宋" w:eastAsia="仿宋" w:cs="仿宋"/>
          <w:b/>
          <w:color w:val="auto"/>
          <w:sz w:val="28"/>
          <w:szCs w:val="28"/>
        </w:rPr>
        <w:t>不可抗力</w:t>
      </w:r>
      <w:bookmarkEnd w:id="22"/>
      <w:bookmarkEnd w:id="23"/>
      <w:bookmarkEnd w:id="24"/>
    </w:p>
    <w:p w14:paraId="0066F578">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13.1</w:t>
      </w:r>
      <w:r>
        <w:rPr>
          <w:rFonts w:hint="eastAsia" w:ascii="仿宋" w:hAnsi="仿宋" w:eastAsia="仿宋" w:cs="仿宋"/>
          <w:color w:val="auto"/>
          <w:sz w:val="28"/>
          <w:szCs w:val="28"/>
        </w:rPr>
        <w:t>本合同所指不可抗力，是指不能预见、不能避免并不能克服的客观情况。</w:t>
      </w:r>
    </w:p>
    <w:p w14:paraId="582C03A3">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13.2</w:t>
      </w:r>
      <w:r>
        <w:rPr>
          <w:rFonts w:hint="eastAsia" w:ascii="仿宋" w:hAnsi="仿宋" w:eastAsia="仿宋" w:cs="仿宋"/>
          <w:color w:val="auto"/>
          <w:sz w:val="28"/>
          <w:szCs w:val="28"/>
        </w:rPr>
        <w:t>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092BB817">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13.2.1</w:t>
      </w:r>
      <w:r>
        <w:rPr>
          <w:rFonts w:hint="eastAsia" w:ascii="仿宋" w:hAnsi="仿宋" w:eastAsia="仿宋" w:cs="仿宋"/>
          <w:color w:val="auto"/>
          <w:sz w:val="28"/>
          <w:szCs w:val="28"/>
        </w:rPr>
        <w:t>受阻方不能全部或部分履行其义务，是由于不可抗力事件直接造成的，且在不可抗力发生前受阻方不存在迟延履行相关义务的情形；</w:t>
      </w:r>
    </w:p>
    <w:p w14:paraId="7EF2129B">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13.2.2</w:t>
      </w:r>
      <w:r>
        <w:rPr>
          <w:rFonts w:hint="eastAsia" w:ascii="仿宋" w:hAnsi="仿宋" w:eastAsia="仿宋" w:cs="仿宋"/>
          <w:color w:val="auto"/>
          <w:sz w:val="28"/>
          <w:szCs w:val="28"/>
        </w:rPr>
        <w:t>受阻方已尽最大努力履行其义务并减少由于不可抗力事件给另一方造成的损失；</w:t>
      </w:r>
    </w:p>
    <w:p w14:paraId="43A060C7">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13.2.3</w:t>
      </w:r>
      <w:r>
        <w:rPr>
          <w:rFonts w:hint="eastAsia" w:ascii="仿宋" w:hAnsi="仿宋" w:eastAsia="仿宋" w:cs="仿宋"/>
          <w:color w:val="auto"/>
          <w:sz w:val="28"/>
          <w:szCs w:val="28"/>
        </w:rPr>
        <w:t>不可抗力事件发生时，受阻方立即通知了对方，并在不可抗力事件发生后的十五</w:t>
      </w:r>
      <w:r>
        <w:rPr>
          <w:rFonts w:ascii="仿宋" w:hAnsi="仿宋" w:eastAsia="仿宋" w:cs="仿宋"/>
          <w:color w:val="auto"/>
          <w:sz w:val="28"/>
          <w:szCs w:val="28"/>
        </w:rPr>
        <w:t>(15)</w:t>
      </w:r>
      <w:r>
        <w:rPr>
          <w:rFonts w:hint="eastAsia" w:ascii="仿宋" w:hAnsi="仿宋" w:eastAsia="仿宋" w:cs="仿宋"/>
          <w:color w:val="auto"/>
          <w:sz w:val="28"/>
          <w:szCs w:val="28"/>
        </w:rPr>
        <w:t>天内提供有关该事件的公证文书和书面说明，书面说明中应包括对延迟履行或部分履行本合同的原因说明。</w:t>
      </w:r>
    </w:p>
    <w:p w14:paraId="5844B5C3">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13.3</w:t>
      </w:r>
      <w:r>
        <w:rPr>
          <w:rFonts w:hint="eastAsia" w:ascii="仿宋" w:hAnsi="仿宋" w:eastAsia="仿宋" w:cs="仿宋"/>
          <w:color w:val="auto"/>
          <w:sz w:val="28"/>
          <w:szCs w:val="28"/>
        </w:rPr>
        <w:t>不可抗力事件终止或被排除后，受阻方应继续履行本合同，并应尽快通知另一方。受阻方应可延长履行义务的时间，延长期应相当于不可抗力事件实际造成延误的时间。</w:t>
      </w:r>
    </w:p>
    <w:p w14:paraId="653B9EDF">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ascii="仿宋" w:hAnsi="仿宋" w:eastAsia="仿宋" w:cs="仿宋"/>
          <w:color w:val="auto"/>
          <w:sz w:val="28"/>
          <w:szCs w:val="28"/>
        </w:rPr>
      </w:pPr>
      <w:r>
        <w:rPr>
          <w:rFonts w:ascii="仿宋" w:hAnsi="仿宋" w:eastAsia="仿宋" w:cs="仿宋"/>
          <w:color w:val="auto"/>
          <w:sz w:val="28"/>
          <w:szCs w:val="28"/>
        </w:rPr>
        <w:t>13.4</w:t>
      </w:r>
      <w:r>
        <w:rPr>
          <w:rFonts w:hint="eastAsia" w:ascii="仿宋" w:hAnsi="仿宋" w:eastAsia="仿宋" w:cs="仿宋"/>
          <w:color w:val="auto"/>
          <w:sz w:val="28"/>
          <w:szCs w:val="28"/>
        </w:rPr>
        <w:t>如果不可抗力事件的影响持续达三十（</w:t>
      </w:r>
      <w:r>
        <w:rPr>
          <w:rFonts w:ascii="仿宋" w:hAnsi="仿宋" w:eastAsia="仿宋" w:cs="仿宋"/>
          <w:color w:val="auto"/>
          <w:sz w:val="28"/>
          <w:szCs w:val="28"/>
        </w:rPr>
        <w:t>30</w:t>
      </w:r>
      <w:r>
        <w:rPr>
          <w:rFonts w:hint="eastAsia" w:ascii="仿宋" w:hAnsi="仿宋" w:eastAsia="仿宋" w:cs="仿宋"/>
          <w:color w:val="auto"/>
          <w:sz w:val="28"/>
          <w:szCs w:val="28"/>
        </w:rPr>
        <w:t>）日或以上时，双方应根据该事件对本合同履行的影响程度协商对本合同的修改或终止。如在一方发出协商书面通知之日起十（</w:t>
      </w:r>
      <w:r>
        <w:rPr>
          <w:rFonts w:ascii="仿宋" w:hAnsi="仿宋" w:eastAsia="仿宋" w:cs="仿宋"/>
          <w:color w:val="auto"/>
          <w:sz w:val="28"/>
          <w:szCs w:val="28"/>
        </w:rPr>
        <w:t>10</w:t>
      </w:r>
      <w:r>
        <w:rPr>
          <w:rFonts w:hint="eastAsia" w:ascii="仿宋" w:hAnsi="仿宋" w:eastAsia="仿宋" w:cs="仿宋"/>
          <w:color w:val="auto"/>
          <w:sz w:val="28"/>
          <w:szCs w:val="28"/>
        </w:rPr>
        <w:t>）日内双方无法就此达成一致，任何一方均有权解除本合同而无需承担违约责任。</w:t>
      </w:r>
    </w:p>
    <w:p w14:paraId="758DC7AD">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ascii="仿宋" w:hAnsi="仿宋" w:eastAsia="仿宋" w:cs="仿宋"/>
          <w:b/>
          <w:bCs/>
          <w:color w:val="auto"/>
          <w:sz w:val="28"/>
          <w:szCs w:val="28"/>
        </w:rPr>
      </w:pPr>
      <w:bookmarkStart w:id="25" w:name="_Toc48999699"/>
      <w:bookmarkStart w:id="26" w:name="_Toc48999887"/>
      <w:bookmarkStart w:id="27" w:name="_Toc333174984"/>
      <w:r>
        <w:rPr>
          <w:rFonts w:hint="eastAsia" w:ascii="仿宋" w:hAnsi="仿宋" w:eastAsia="仿宋" w:cs="仿宋"/>
          <w:b/>
          <w:bCs/>
          <w:color w:val="auto"/>
          <w:sz w:val="28"/>
          <w:szCs w:val="28"/>
        </w:rPr>
        <w:t>第十四条</w:t>
      </w:r>
      <w:r>
        <w:rPr>
          <w:rFonts w:ascii="仿宋" w:hAnsi="仿宋" w:eastAsia="仿宋" w:cs="仿宋"/>
          <w:b/>
          <w:bCs/>
          <w:color w:val="auto"/>
          <w:sz w:val="28"/>
          <w:szCs w:val="28"/>
        </w:rPr>
        <w:t xml:space="preserve">  </w:t>
      </w:r>
      <w:r>
        <w:rPr>
          <w:rFonts w:hint="eastAsia" w:ascii="仿宋" w:hAnsi="仿宋" w:eastAsia="仿宋" w:cs="仿宋"/>
          <w:b/>
          <w:bCs/>
          <w:color w:val="auto"/>
          <w:sz w:val="28"/>
          <w:szCs w:val="28"/>
        </w:rPr>
        <w:t>通知与送达</w:t>
      </w:r>
      <w:bookmarkEnd w:id="25"/>
      <w:bookmarkEnd w:id="26"/>
      <w:bookmarkEnd w:id="27"/>
    </w:p>
    <w:p w14:paraId="31C807D9">
      <w:pPr>
        <w:pStyle w:val="11"/>
        <w:keepNext w:val="0"/>
        <w:keepLines w:val="0"/>
        <w:pageBreakBefore w:val="0"/>
        <w:tabs>
          <w:tab w:val="left" w:pos="900"/>
        </w:tabs>
        <w:kinsoku/>
        <w:wordWrap/>
        <w:overflowPunct/>
        <w:topLinePunct w:val="0"/>
        <w:autoSpaceDE/>
        <w:autoSpaceDN/>
        <w:bidi w:val="0"/>
        <w:spacing w:afterLines="0" w:line="240" w:lineRule="auto"/>
        <w:ind w:firstLine="560" w:firstLineChars="200"/>
        <w:jc w:val="both"/>
        <w:textAlignment w:val="auto"/>
        <w:rPr>
          <w:rFonts w:hint="eastAsia" w:ascii="仿宋" w:hAnsi="仿宋" w:eastAsia="仿宋" w:cs="仿宋"/>
          <w:color w:val="auto"/>
          <w:sz w:val="28"/>
          <w:szCs w:val="28"/>
        </w:rPr>
      </w:pPr>
      <w:r>
        <w:rPr>
          <w:rFonts w:ascii="仿宋" w:hAnsi="仿宋" w:eastAsia="仿宋" w:cs="仿宋"/>
          <w:color w:val="auto"/>
          <w:sz w:val="28"/>
          <w:szCs w:val="28"/>
        </w:rPr>
        <w:t>14.1</w:t>
      </w:r>
      <w:r>
        <w:rPr>
          <w:rFonts w:hint="eastAsia" w:ascii="仿宋" w:hAnsi="仿宋" w:eastAsia="仿宋" w:cs="仿宋"/>
          <w:color w:val="auto"/>
          <w:sz w:val="28"/>
          <w:szCs w:val="28"/>
        </w:rPr>
        <w:t>根据本合同需要发出的全部通知，均须采取书面形式，以（A）专人递送，（B）特快专递，（C）传真，或（D）邮箱。特快专递的交寄日以邮戳为准。上述书面通知均须标明合同对方为收件人。</w:t>
      </w:r>
    </w:p>
    <w:p w14:paraId="2AE41536">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14.2</w:t>
      </w:r>
      <w:r>
        <w:rPr>
          <w:rFonts w:hint="eastAsia" w:ascii="仿宋" w:hAnsi="仿宋" w:eastAsia="仿宋" w:cs="仿宋"/>
          <w:color w:val="auto"/>
          <w:sz w:val="28"/>
          <w:szCs w:val="28"/>
        </w:rPr>
        <w:t>上述书面通知按对方在本合同第</w:t>
      </w:r>
      <w:r>
        <w:rPr>
          <w:rFonts w:ascii="仿宋" w:hAnsi="仿宋" w:eastAsia="仿宋" w:cs="仿宋"/>
          <w:color w:val="auto"/>
          <w:sz w:val="28"/>
          <w:szCs w:val="28"/>
        </w:rPr>
        <w:t>14.4</w:t>
      </w:r>
      <w:r>
        <w:rPr>
          <w:rFonts w:hint="eastAsia" w:ascii="仿宋" w:hAnsi="仿宋" w:eastAsia="仿宋" w:cs="仿宋"/>
          <w:color w:val="auto"/>
          <w:sz w:val="28"/>
          <w:szCs w:val="28"/>
        </w:rPr>
        <w:t>条款中所列的地址发出，并按本合同第</w:t>
      </w:r>
      <w:r>
        <w:rPr>
          <w:rFonts w:ascii="仿宋" w:hAnsi="仿宋" w:eastAsia="仿宋" w:cs="仿宋"/>
          <w:color w:val="auto"/>
          <w:sz w:val="28"/>
          <w:szCs w:val="28"/>
        </w:rPr>
        <w:t>14.3</w:t>
      </w:r>
      <w:r>
        <w:rPr>
          <w:rFonts w:hint="eastAsia" w:ascii="仿宋" w:hAnsi="仿宋" w:eastAsia="仿宋" w:cs="仿宋"/>
          <w:color w:val="auto"/>
          <w:sz w:val="28"/>
          <w:szCs w:val="28"/>
        </w:rPr>
        <w:t>条款规定时间被视为已经送达。如双方中任何一方的地址有变更时，须在变更前十日以书面形式通知对方，因迟延通知而造成的损失，由延迟通知方承担责任。</w:t>
      </w:r>
    </w:p>
    <w:p w14:paraId="771BB1F0">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14.3</w:t>
      </w:r>
      <w:r>
        <w:rPr>
          <w:rFonts w:hint="eastAsia" w:ascii="仿宋" w:hAnsi="仿宋" w:eastAsia="仿宋" w:cs="仿宋"/>
          <w:color w:val="auto"/>
          <w:sz w:val="28"/>
          <w:szCs w:val="28"/>
        </w:rPr>
        <w:t>双方将按如下规定确定通知被视为正式送达的日期：</w:t>
      </w:r>
    </w:p>
    <w:p w14:paraId="75AB988D">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14.3.1</w:t>
      </w:r>
      <w:r>
        <w:rPr>
          <w:rFonts w:hint="eastAsia" w:ascii="仿宋" w:hAnsi="仿宋" w:eastAsia="仿宋" w:cs="仿宋"/>
          <w:color w:val="auto"/>
          <w:sz w:val="28"/>
          <w:szCs w:val="28"/>
        </w:rPr>
        <w:t>以专人递送的，接收人签收之日视为送达；</w:t>
      </w:r>
    </w:p>
    <w:p w14:paraId="0A7F34DF">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hint="eastAsia" w:ascii="仿宋" w:hAnsi="仿宋" w:eastAsia="仿宋" w:cs="仿宋"/>
          <w:color w:val="auto"/>
          <w:sz w:val="28"/>
          <w:szCs w:val="28"/>
        </w:rPr>
      </w:pPr>
      <w:r>
        <w:rPr>
          <w:rFonts w:ascii="仿宋" w:hAnsi="仿宋" w:eastAsia="仿宋" w:cs="仿宋"/>
          <w:color w:val="auto"/>
          <w:sz w:val="28"/>
          <w:szCs w:val="28"/>
        </w:rPr>
        <w:t>14.3.2</w:t>
      </w:r>
      <w:r>
        <w:rPr>
          <w:rFonts w:hint="eastAsia" w:ascii="仿宋" w:hAnsi="仿宋" w:eastAsia="仿宋" w:cs="仿宋"/>
          <w:color w:val="auto"/>
          <w:sz w:val="28"/>
          <w:szCs w:val="28"/>
        </w:rPr>
        <w:t>以传真方式发出的，以发件方发送后打印出的发送确认单所示时间视为送达；</w:t>
      </w:r>
    </w:p>
    <w:p w14:paraId="6F84F0CB">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14.3.3双方确认以电子邮件方式开展日常业务联系，甲方指定业务联系人为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，联系电子邮箱</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，乙方指定业务联系人为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，联系电子邮箱</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；任何一方联系人或联系邮箱发生变更的，应书面通知另一方，否则视为未变更。</w:t>
      </w:r>
    </w:p>
    <w:p w14:paraId="5B1F9A64">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14.4</w:t>
      </w:r>
      <w:r>
        <w:rPr>
          <w:rFonts w:hint="eastAsia" w:ascii="仿宋" w:hAnsi="仿宋" w:eastAsia="仿宋" w:cs="仿宋"/>
          <w:color w:val="auto"/>
          <w:sz w:val="28"/>
          <w:szCs w:val="28"/>
        </w:rPr>
        <w:t>双方地址与联系方式如下：</w:t>
      </w:r>
    </w:p>
    <w:p w14:paraId="1C8C4B4D">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如致甲方：</w:t>
      </w:r>
    </w:p>
    <w:p w14:paraId="2544A351">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hint="eastAsia" w:ascii="仿宋" w:hAnsi="仿宋" w:eastAsia="仿宋" w:cs="仿宋"/>
          <w:color w:val="auto"/>
          <w:sz w:val="28"/>
          <w:szCs w:val="28"/>
          <w:lang w:eastAsia="zh-CN"/>
        </w:rPr>
        <w:t>名称：</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p>
    <w:p w14:paraId="556A9867">
      <w:pPr>
        <w:pStyle w:val="11"/>
        <w:keepNext w:val="0"/>
        <w:keepLines w:val="0"/>
        <w:pageBreakBefore w:val="0"/>
        <w:tabs>
          <w:tab w:val="left" w:pos="900"/>
        </w:tabs>
        <w:kinsoku/>
        <w:wordWrap/>
        <w:overflowPunct/>
        <w:topLinePunct w:val="0"/>
        <w:autoSpaceDE/>
        <w:autoSpaceDN/>
        <w:bidi w:val="0"/>
        <w:spacing w:afterLines="0" w:line="240" w:lineRule="auto"/>
        <w:ind w:left="0" w:firstLine="565" w:firstLineChars="202"/>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地址：【</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p>
    <w:p w14:paraId="22D1B9F6">
      <w:pPr>
        <w:pStyle w:val="11"/>
        <w:keepNext w:val="0"/>
        <w:keepLines w:val="0"/>
        <w:pageBreakBefore w:val="0"/>
        <w:tabs>
          <w:tab w:val="left" w:pos="900"/>
        </w:tabs>
        <w:kinsoku/>
        <w:wordWrap/>
        <w:overflowPunct/>
        <w:topLinePunct w:val="0"/>
        <w:autoSpaceDE/>
        <w:autoSpaceDN/>
        <w:bidi w:val="0"/>
        <w:spacing w:afterLines="0" w:line="240" w:lineRule="auto"/>
        <w:ind w:left="0" w:firstLine="565" w:firstLineChars="202"/>
        <w:jc w:val="both"/>
        <w:textAlignment w:val="auto"/>
        <w:rPr>
          <w:rFonts w:ascii="仿宋" w:hAnsi="仿宋" w:eastAsia="仿宋" w:cs="仿宋"/>
          <w:color w:val="auto"/>
          <w:sz w:val="28"/>
          <w:szCs w:val="28"/>
          <w:u w:val="none"/>
        </w:rPr>
      </w:pPr>
      <w:r>
        <w:rPr>
          <w:rFonts w:hint="eastAsia" w:ascii="仿宋" w:hAnsi="仿宋" w:eastAsia="仿宋" w:cs="仿宋"/>
          <w:color w:val="auto"/>
          <w:sz w:val="28"/>
          <w:szCs w:val="28"/>
        </w:rPr>
        <w:t>电话：【</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p>
    <w:p w14:paraId="241D9EF1">
      <w:pPr>
        <w:pStyle w:val="11"/>
        <w:keepNext w:val="0"/>
        <w:keepLines w:val="0"/>
        <w:pageBreakBefore w:val="0"/>
        <w:tabs>
          <w:tab w:val="left" w:pos="900"/>
        </w:tabs>
        <w:kinsoku/>
        <w:wordWrap/>
        <w:overflowPunct/>
        <w:topLinePunct w:val="0"/>
        <w:autoSpaceDE/>
        <w:autoSpaceDN/>
        <w:bidi w:val="0"/>
        <w:spacing w:afterLines="0" w:line="240" w:lineRule="auto"/>
        <w:ind w:left="0" w:firstLine="565" w:firstLineChars="202"/>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如致乙方：</w:t>
      </w:r>
      <w:r>
        <w:rPr>
          <w:rFonts w:ascii="仿宋" w:hAnsi="仿宋" w:eastAsia="仿宋" w:cs="仿宋"/>
          <w:color w:val="auto"/>
          <w:sz w:val="28"/>
          <w:szCs w:val="28"/>
        </w:rPr>
        <w:t xml:space="preserve"> </w:t>
      </w:r>
    </w:p>
    <w:p w14:paraId="5E6C612E">
      <w:pPr>
        <w:pStyle w:val="11"/>
        <w:keepNext w:val="0"/>
        <w:keepLines w:val="0"/>
        <w:pageBreakBefore w:val="0"/>
        <w:tabs>
          <w:tab w:val="left" w:pos="900"/>
        </w:tabs>
        <w:kinsoku/>
        <w:wordWrap/>
        <w:overflowPunct/>
        <w:topLinePunct w:val="0"/>
        <w:autoSpaceDE/>
        <w:autoSpaceDN/>
        <w:bidi w:val="0"/>
        <w:spacing w:afterLines="0" w:line="240" w:lineRule="auto"/>
        <w:ind w:left="0" w:firstLine="565" w:firstLineChars="202"/>
        <w:jc w:val="both"/>
        <w:textAlignment w:val="auto"/>
        <w:rPr>
          <w:rFonts w:ascii="仿宋" w:hAnsi="仿宋" w:eastAsia="仿宋" w:cs="仿宋"/>
          <w:color w:val="auto"/>
          <w:sz w:val="28"/>
          <w:szCs w:val="28"/>
        </w:rPr>
      </w:pPr>
      <w:r>
        <w:rPr>
          <w:rFonts w:hint="eastAsia" w:ascii="仿宋" w:hAnsi="仿宋" w:eastAsia="仿宋" w:cs="仿宋"/>
          <w:color w:val="auto"/>
          <w:sz w:val="28"/>
          <w:szCs w:val="28"/>
          <w:lang w:eastAsia="zh-CN"/>
        </w:rPr>
        <w:t>名称：</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p>
    <w:p w14:paraId="7332C024">
      <w:pPr>
        <w:pStyle w:val="11"/>
        <w:keepNext w:val="0"/>
        <w:keepLines w:val="0"/>
        <w:pageBreakBefore w:val="0"/>
        <w:tabs>
          <w:tab w:val="left" w:pos="900"/>
        </w:tabs>
        <w:kinsoku/>
        <w:wordWrap/>
        <w:overflowPunct/>
        <w:topLinePunct w:val="0"/>
        <w:autoSpaceDE/>
        <w:autoSpaceDN/>
        <w:bidi w:val="0"/>
        <w:spacing w:afterLines="0" w:line="240" w:lineRule="auto"/>
        <w:ind w:left="0" w:firstLine="565" w:firstLineChars="202"/>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地址：【</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p>
    <w:p w14:paraId="6C1934E9">
      <w:pPr>
        <w:pStyle w:val="11"/>
        <w:keepNext w:val="0"/>
        <w:keepLines w:val="0"/>
        <w:pageBreakBefore w:val="0"/>
        <w:tabs>
          <w:tab w:val="left" w:pos="900"/>
        </w:tabs>
        <w:kinsoku/>
        <w:wordWrap/>
        <w:overflowPunct/>
        <w:topLinePunct w:val="0"/>
        <w:autoSpaceDE/>
        <w:autoSpaceDN/>
        <w:bidi w:val="0"/>
        <w:spacing w:afterLines="0" w:line="240" w:lineRule="auto"/>
        <w:ind w:left="0" w:firstLine="565" w:firstLineChars="202"/>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电话：【</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p>
    <w:p w14:paraId="46B53D38">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ascii="仿宋" w:hAnsi="仿宋" w:eastAsia="仿宋" w:cs="仿宋"/>
          <w:b/>
          <w:bCs/>
          <w:color w:val="auto"/>
          <w:sz w:val="28"/>
          <w:szCs w:val="28"/>
        </w:rPr>
      </w:pPr>
      <w:bookmarkStart w:id="28" w:name="_Toc333174985"/>
      <w:bookmarkStart w:id="29" w:name="_Toc48999700"/>
      <w:bookmarkStart w:id="30" w:name="_Toc48999888"/>
      <w:r>
        <w:rPr>
          <w:rFonts w:hint="eastAsia" w:ascii="仿宋" w:hAnsi="仿宋" w:eastAsia="仿宋" w:cs="仿宋"/>
          <w:b/>
          <w:bCs/>
          <w:color w:val="auto"/>
          <w:sz w:val="28"/>
          <w:szCs w:val="28"/>
        </w:rPr>
        <w:t>第十五条</w:t>
      </w:r>
      <w:r>
        <w:rPr>
          <w:rFonts w:ascii="仿宋" w:hAnsi="仿宋" w:eastAsia="仿宋" w:cs="仿宋"/>
          <w:b/>
          <w:bCs/>
          <w:color w:val="auto"/>
          <w:sz w:val="28"/>
          <w:szCs w:val="28"/>
        </w:rPr>
        <w:t xml:space="preserve">  </w:t>
      </w:r>
      <w:r>
        <w:rPr>
          <w:rFonts w:hint="eastAsia" w:ascii="仿宋" w:hAnsi="仿宋" w:eastAsia="仿宋" w:cs="仿宋"/>
          <w:b/>
          <w:bCs/>
          <w:color w:val="auto"/>
          <w:sz w:val="28"/>
          <w:szCs w:val="28"/>
        </w:rPr>
        <w:t>法律适用和争议解决</w:t>
      </w:r>
      <w:bookmarkEnd w:id="28"/>
      <w:bookmarkEnd w:id="29"/>
      <w:bookmarkEnd w:id="30"/>
    </w:p>
    <w:p w14:paraId="317493A6">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15.1</w:t>
      </w:r>
      <w:r>
        <w:rPr>
          <w:rFonts w:hint="eastAsia" w:ascii="仿宋" w:hAnsi="仿宋" w:eastAsia="仿宋" w:cs="仿宋"/>
          <w:color w:val="auto"/>
          <w:sz w:val="28"/>
          <w:szCs w:val="28"/>
        </w:rPr>
        <w:t>本合同的成立、有效性、解释、履行、签署、修订和终止以及争议的解决均应适用中华人民共和国法律。</w:t>
      </w:r>
    </w:p>
    <w:p w14:paraId="157BEE30">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15.2</w:t>
      </w:r>
      <w:r>
        <w:rPr>
          <w:rFonts w:hint="eastAsia" w:ascii="仿宋" w:hAnsi="仿宋" w:eastAsia="仿宋" w:cs="仿宋"/>
          <w:color w:val="auto"/>
          <w:sz w:val="28"/>
          <w:szCs w:val="28"/>
        </w:rPr>
        <w:t>如果任何争议或权利要求起因于本合同或与本合同有关或与本合同的解释、违约、终止或效力有关，都应由双方通过友好协商解决。协商应在一方向另一方送达关于协商的书面要求后立即开始。</w:t>
      </w:r>
    </w:p>
    <w:p w14:paraId="023F72A2">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15.3</w:t>
      </w:r>
      <w:r>
        <w:rPr>
          <w:rFonts w:hint="eastAsia" w:ascii="仿宋" w:hAnsi="仿宋" w:eastAsia="仿宋" w:cs="仿宋"/>
          <w:color w:val="auto"/>
          <w:sz w:val="28"/>
          <w:szCs w:val="28"/>
        </w:rPr>
        <w:t>如果在一方提出协商要求后的十</w:t>
      </w:r>
      <w:r>
        <w:rPr>
          <w:rFonts w:ascii="仿宋" w:hAnsi="仿宋" w:eastAsia="仿宋" w:cs="仿宋"/>
          <w:color w:val="auto"/>
          <w:sz w:val="28"/>
          <w:szCs w:val="28"/>
        </w:rPr>
        <w:t>(10)</w:t>
      </w:r>
      <w:r>
        <w:rPr>
          <w:rFonts w:hint="eastAsia" w:ascii="仿宋" w:hAnsi="仿宋" w:eastAsia="仿宋" w:cs="仿宋"/>
          <w:color w:val="auto"/>
          <w:sz w:val="28"/>
          <w:szCs w:val="28"/>
        </w:rPr>
        <w:t>天内，双方通过协商不能解决争议，则双方同意按以下第【</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】种方式解决：</w:t>
      </w:r>
    </w:p>
    <w:p w14:paraId="072C3518">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w:t>
      </w:r>
      <w:r>
        <w:rPr>
          <w:rFonts w:ascii="仿宋" w:hAnsi="仿宋" w:eastAsia="仿宋" w:cs="仿宋"/>
          <w:color w:val="auto"/>
          <w:sz w:val="28"/>
          <w:szCs w:val="28"/>
        </w:rPr>
        <w:t>1</w:t>
      </w:r>
      <w:r>
        <w:rPr>
          <w:rFonts w:hint="eastAsia" w:ascii="仿宋" w:hAnsi="仿宋" w:eastAsia="仿宋" w:cs="仿宋"/>
          <w:color w:val="auto"/>
          <w:sz w:val="28"/>
          <w:szCs w:val="28"/>
        </w:rPr>
        <w:t>）将该争议提交至【西安】仲裁委员会金融仲裁院仲裁解决。依据其现行有效的仲裁规则在【西安】进行仲裁。</w:t>
      </w:r>
    </w:p>
    <w:p w14:paraId="3D419AC8">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本合同项下的任何仲裁裁决是终局的，并对双方具有约束力，并可在任何有管辖权的法院或其他有权机构强制执行。除非仲裁裁决有不同规定，败诉方应支付双方因仲裁所发生的一切法律费用，包括但不限于律师费、交通费、仲裁费用等。</w:t>
      </w:r>
    </w:p>
    <w:p w14:paraId="1132920A">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hint="eastAsia" w:ascii="仿宋" w:hAnsi="仿宋" w:eastAsia="仿宋" w:cs="仿宋"/>
          <w:color w:val="auto"/>
          <w:sz w:val="28"/>
          <w:szCs w:val="28"/>
        </w:rPr>
        <w:t>（</w:t>
      </w:r>
      <w:r>
        <w:rPr>
          <w:rFonts w:ascii="仿宋" w:hAnsi="仿宋" w:eastAsia="仿宋" w:cs="仿宋"/>
          <w:color w:val="auto"/>
          <w:sz w:val="28"/>
          <w:szCs w:val="28"/>
        </w:rPr>
        <w:t>2</w:t>
      </w:r>
      <w:r>
        <w:rPr>
          <w:rFonts w:hint="eastAsia" w:ascii="仿宋" w:hAnsi="仿宋" w:eastAsia="仿宋" w:cs="仿宋"/>
          <w:color w:val="auto"/>
          <w:sz w:val="28"/>
          <w:szCs w:val="28"/>
        </w:rPr>
        <w:t>）向【甲方所在地】人民法院提起诉讼。</w:t>
      </w:r>
    </w:p>
    <w:p w14:paraId="6FACA9AB">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15.4</w:t>
      </w:r>
      <w:r>
        <w:rPr>
          <w:rFonts w:hint="eastAsia" w:ascii="仿宋" w:hAnsi="仿宋" w:eastAsia="仿宋" w:cs="仿宋"/>
          <w:color w:val="auto"/>
          <w:sz w:val="28"/>
          <w:szCs w:val="28"/>
        </w:rPr>
        <w:t>仲裁或诉讼进行过程中，除双方有争议的部分外，本合同其他部分仍然有效，双方应继续履行。</w:t>
      </w:r>
    </w:p>
    <w:p w14:paraId="7D144B6D">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15.5</w:t>
      </w:r>
      <w:r>
        <w:rPr>
          <w:rFonts w:hint="eastAsia" w:ascii="仿宋" w:hAnsi="仿宋" w:eastAsia="仿宋" w:cs="仿宋"/>
          <w:color w:val="auto"/>
          <w:sz w:val="28"/>
          <w:szCs w:val="28"/>
        </w:rPr>
        <w:t>本合同全部或部分无效的，本条依然有效。</w:t>
      </w:r>
    </w:p>
    <w:p w14:paraId="7BCCD731">
      <w:pPr>
        <w:keepNext w:val="0"/>
        <w:keepLines w:val="0"/>
        <w:pageBreakBefore w:val="0"/>
        <w:kinsoku/>
        <w:wordWrap/>
        <w:overflowPunct/>
        <w:topLinePunct w:val="0"/>
        <w:autoSpaceDE/>
        <w:autoSpaceDN/>
        <w:bidi w:val="0"/>
        <w:spacing w:after="0" w:afterLines="0" w:line="240" w:lineRule="auto"/>
        <w:ind w:firstLine="562" w:firstLineChars="200"/>
        <w:jc w:val="both"/>
        <w:textAlignment w:val="auto"/>
        <w:rPr>
          <w:rFonts w:ascii="仿宋" w:hAnsi="仿宋" w:eastAsia="仿宋" w:cs="仿宋"/>
          <w:b/>
          <w:bCs/>
          <w:color w:val="auto"/>
          <w:sz w:val="28"/>
          <w:szCs w:val="28"/>
        </w:rPr>
      </w:pPr>
      <w:bookmarkStart w:id="31" w:name="_Toc48999889"/>
      <w:bookmarkStart w:id="32" w:name="_Toc333174986"/>
      <w:bookmarkStart w:id="33" w:name="_Toc48999701"/>
      <w:r>
        <w:rPr>
          <w:rFonts w:hint="eastAsia" w:ascii="仿宋" w:hAnsi="仿宋" w:eastAsia="仿宋" w:cs="仿宋"/>
          <w:b/>
          <w:bCs/>
          <w:color w:val="auto"/>
          <w:sz w:val="28"/>
          <w:szCs w:val="28"/>
        </w:rPr>
        <w:t>第十六条</w:t>
      </w:r>
      <w:r>
        <w:rPr>
          <w:rFonts w:ascii="仿宋" w:hAnsi="仿宋" w:eastAsia="仿宋" w:cs="仿宋"/>
          <w:b/>
          <w:bCs/>
          <w:color w:val="auto"/>
          <w:sz w:val="28"/>
          <w:szCs w:val="28"/>
        </w:rPr>
        <w:t xml:space="preserve">  </w:t>
      </w:r>
      <w:r>
        <w:rPr>
          <w:rFonts w:hint="eastAsia" w:ascii="仿宋" w:hAnsi="仿宋" w:eastAsia="仿宋" w:cs="仿宋"/>
          <w:b/>
          <w:bCs/>
          <w:color w:val="auto"/>
          <w:sz w:val="28"/>
          <w:szCs w:val="28"/>
        </w:rPr>
        <w:t>合同生效、终止及其他</w:t>
      </w:r>
      <w:bookmarkEnd w:id="31"/>
      <w:bookmarkEnd w:id="32"/>
      <w:bookmarkEnd w:id="33"/>
    </w:p>
    <w:p w14:paraId="12E2CC0F">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16.1</w:t>
      </w:r>
      <w:r>
        <w:rPr>
          <w:rFonts w:hint="eastAsia" w:ascii="仿宋" w:hAnsi="仿宋" w:eastAsia="仿宋" w:cs="仿宋"/>
          <w:color w:val="auto"/>
          <w:sz w:val="28"/>
          <w:szCs w:val="28"/>
        </w:rPr>
        <w:t>新闻发布及公告。除非法律规定或任何主管机关要求，或经由另一方书面同意（不应无理拒绝或拖延同意），任何一方不应对本合同或任何相关事项予以发布或公告。</w:t>
      </w:r>
    </w:p>
    <w:p w14:paraId="1497519C">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16.2</w:t>
      </w:r>
      <w:r>
        <w:rPr>
          <w:rFonts w:hint="eastAsia" w:ascii="仿宋" w:hAnsi="仿宋" w:eastAsia="仿宋" w:cs="仿宋"/>
          <w:color w:val="auto"/>
          <w:sz w:val="28"/>
          <w:szCs w:val="28"/>
        </w:rPr>
        <w:t>第三方不受益。除双方及其各自的继任人和允许的受让人以外，本合同不应向任何个人或实体赋予权利或救济。</w:t>
      </w:r>
    </w:p>
    <w:p w14:paraId="2C912CCB">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16.3</w:t>
      </w:r>
      <w:r>
        <w:rPr>
          <w:rFonts w:hint="eastAsia" w:ascii="仿宋" w:hAnsi="仿宋" w:eastAsia="仿宋" w:cs="仿宋"/>
          <w:color w:val="auto"/>
          <w:sz w:val="28"/>
          <w:szCs w:val="28"/>
        </w:rPr>
        <w:t>整体合同。本合同主体文本及其附件构成双方就本合同标的达成的完整协议，取代以前双方就本合同标的所达成的所有口头或书面的协议、协商、条款、意向书以及其他协议和文件。</w:t>
      </w:r>
    </w:p>
    <w:p w14:paraId="075F5EEE">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16.4</w:t>
      </w:r>
      <w:r>
        <w:rPr>
          <w:rFonts w:hint="eastAsia" w:ascii="仿宋" w:hAnsi="仿宋" w:eastAsia="仿宋" w:cs="仿宋"/>
          <w:color w:val="auto"/>
          <w:sz w:val="28"/>
          <w:szCs w:val="28"/>
        </w:rPr>
        <w:t>转让。未经合同另一方书面同意，一方不得转让本合同项下任何权利和义务。</w:t>
      </w:r>
    </w:p>
    <w:p w14:paraId="15932E47">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16.5</w:t>
      </w:r>
      <w:r>
        <w:rPr>
          <w:rFonts w:hint="eastAsia" w:ascii="仿宋" w:hAnsi="仿宋" w:eastAsia="仿宋" w:cs="仿宋"/>
          <w:color w:val="auto"/>
          <w:sz w:val="28"/>
          <w:szCs w:val="28"/>
        </w:rPr>
        <w:t>语言和文本。本合同以中文签署，一式【</w:t>
      </w:r>
      <w:r>
        <w:rPr>
          <w:rFonts w:hint="eastAsia" w:ascii="仿宋" w:hAnsi="仿宋" w:eastAsia="仿宋" w:cs="仿宋"/>
          <w:color w:val="auto"/>
          <w:sz w:val="28"/>
          <w:szCs w:val="28"/>
          <w:lang w:val="en-US" w:eastAsia="zh-CN"/>
        </w:rPr>
        <w:t>肆</w:t>
      </w:r>
      <w:r>
        <w:rPr>
          <w:rFonts w:hint="eastAsia" w:ascii="仿宋" w:hAnsi="仿宋" w:eastAsia="仿宋" w:cs="仿宋"/>
          <w:color w:val="auto"/>
          <w:sz w:val="28"/>
          <w:szCs w:val="28"/>
        </w:rPr>
        <w:t>】份，甲方执【贰】份，乙方执【贰】份，具有相同法律效力。</w:t>
      </w:r>
    </w:p>
    <w:p w14:paraId="227E45ED">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16.6</w:t>
      </w:r>
      <w:r>
        <w:rPr>
          <w:rFonts w:hint="eastAsia" w:ascii="仿宋" w:hAnsi="仿宋" w:eastAsia="仿宋" w:cs="仿宋"/>
          <w:color w:val="auto"/>
          <w:sz w:val="28"/>
          <w:szCs w:val="28"/>
        </w:rPr>
        <w:t>标题。本合同中加入的各章、条、款、项的标题仅为方便阅读而设，不应对本合同的含义或解释有任何影响。</w:t>
      </w:r>
    </w:p>
    <w:p w14:paraId="52EBF3EF">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16.7</w:t>
      </w:r>
      <w:r>
        <w:rPr>
          <w:rFonts w:hint="eastAsia" w:ascii="仿宋" w:hAnsi="仿宋" w:eastAsia="仿宋" w:cs="仿宋"/>
          <w:color w:val="auto"/>
          <w:sz w:val="28"/>
          <w:szCs w:val="28"/>
        </w:rPr>
        <w:t>弃权。一方未强制执行本合同的一条或若干条款，或未行使其在本合同项下的任何选择权或其他权利，或任何时候未要求另一方履行其在本合同中的任何义务，均不应被理解为该方放弃上述有关条款，或者以任何方式影响本合同的有效性或该方强制执行本合同各项条款的权利，也不应阻止该方在任何时候采取其原本有权采取的其他任何行动。</w:t>
      </w:r>
    </w:p>
    <w:p w14:paraId="5E17FF97">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16.8</w:t>
      </w:r>
      <w:r>
        <w:rPr>
          <w:rFonts w:hint="eastAsia" w:ascii="仿宋" w:hAnsi="仿宋" w:eastAsia="仿宋" w:cs="仿宋"/>
          <w:color w:val="auto"/>
          <w:sz w:val="28"/>
          <w:szCs w:val="28"/>
        </w:rPr>
        <w:t>可分割性。本合同的任何条款或规定，如被有权机构判定为无效或不可执行，不应影响本合同其他条款或规定的效力或可执行性，也不应影响该条款或规定在其他情形下的效力或可执行性。</w:t>
      </w:r>
    </w:p>
    <w:p w14:paraId="79E639ED">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16.9</w:t>
      </w:r>
      <w:r>
        <w:rPr>
          <w:rFonts w:hint="eastAsia" w:ascii="仿宋" w:hAnsi="仿宋" w:eastAsia="仿宋" w:cs="仿宋"/>
          <w:color w:val="auto"/>
          <w:sz w:val="28"/>
          <w:szCs w:val="28"/>
        </w:rPr>
        <w:t>费用。本合同双方应各自承担其自身与本合同及本合同项下的交易有关的所有开支和费用（包括法律费用），本合同另有约定的除外。</w:t>
      </w:r>
    </w:p>
    <w:p w14:paraId="000516B4">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16.10</w:t>
      </w:r>
      <w:r>
        <w:rPr>
          <w:rFonts w:hint="eastAsia" w:ascii="仿宋" w:hAnsi="仿宋" w:eastAsia="仿宋" w:cs="仿宋"/>
          <w:color w:val="auto"/>
          <w:sz w:val="28"/>
          <w:szCs w:val="28"/>
        </w:rPr>
        <w:t>无中间代理。双方确认，没有任何代理人、中间人或中介人直接或间接就本合同或本合同拟定的交易为任何一方行事，并且没有任何人基于任何一方做出的或代表任何一方做出的合同、安排而有权收取与本交易有关的任何代理费、中介费、中间人佣金或类似的佣金。</w:t>
      </w:r>
    </w:p>
    <w:p w14:paraId="30086621">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16.11</w:t>
      </w:r>
      <w:r>
        <w:rPr>
          <w:rFonts w:hint="eastAsia" w:ascii="仿宋" w:hAnsi="仿宋" w:eastAsia="仿宋" w:cs="仿宋"/>
          <w:color w:val="auto"/>
          <w:sz w:val="28"/>
          <w:szCs w:val="28"/>
        </w:rPr>
        <w:t>合同修改和补充。本合同未尽事宜，应由双方友好协商解决。如需对本合同及其附件作任何修改或补充，须由双方以书面做出方为有效。修改或补充文件与本合同有不一致的，以修改或补充文件为准。</w:t>
      </w:r>
    </w:p>
    <w:p w14:paraId="585396F1">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16.12</w:t>
      </w:r>
      <w:r>
        <w:rPr>
          <w:rFonts w:hint="eastAsia" w:ascii="仿宋" w:hAnsi="仿宋" w:eastAsia="仿宋" w:cs="仿宋"/>
          <w:color w:val="auto"/>
          <w:sz w:val="28"/>
          <w:szCs w:val="28"/>
        </w:rPr>
        <w:t>签署授权。本合同签署前，双方将分别向其他方提供其授权本合同签署人代表其签署本合同的授权文件。</w:t>
      </w:r>
    </w:p>
    <w:p w14:paraId="63EEEB20">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ascii="仿宋" w:hAnsi="仿宋" w:eastAsia="仿宋" w:cs="仿宋"/>
          <w:color w:val="auto"/>
          <w:sz w:val="28"/>
          <w:szCs w:val="28"/>
        </w:rPr>
      </w:pPr>
      <w:r>
        <w:rPr>
          <w:rFonts w:ascii="仿宋" w:hAnsi="仿宋" w:eastAsia="仿宋" w:cs="仿宋"/>
          <w:color w:val="auto"/>
          <w:sz w:val="28"/>
          <w:szCs w:val="28"/>
        </w:rPr>
        <w:t>16.13</w:t>
      </w:r>
      <w:r>
        <w:rPr>
          <w:rFonts w:hint="eastAsia" w:ascii="仿宋" w:hAnsi="仿宋" w:eastAsia="仿宋" w:cs="仿宋"/>
          <w:color w:val="auto"/>
          <w:sz w:val="28"/>
          <w:szCs w:val="28"/>
        </w:rPr>
        <w:t>合同效力。本合同自双方签字盖章之日起生效，合同将保持其效力直至双方已完全履行合同项下的所有义务并且双方之间的所有付款和索赔已结清。</w:t>
      </w:r>
    </w:p>
    <w:p w14:paraId="532EDD9B">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hint="default" w:ascii="仿宋" w:hAnsi="仿宋" w:eastAsia="仿宋" w:cs="仿宋"/>
          <w:color w:val="auto"/>
          <w:kern w:val="2"/>
          <w:sz w:val="28"/>
          <w:szCs w:val="28"/>
        </w:rPr>
      </w:pPr>
      <w:r>
        <w:rPr>
          <w:rFonts w:ascii="仿宋" w:hAnsi="仿宋" w:eastAsia="仿宋" w:cs="仿宋"/>
          <w:color w:val="auto"/>
          <w:sz w:val="28"/>
          <w:szCs w:val="28"/>
        </w:rPr>
        <w:t>16.14</w:t>
      </w:r>
      <w:r>
        <w:rPr>
          <w:rFonts w:hint="eastAsia" w:ascii="仿宋" w:hAnsi="仿宋" w:eastAsia="仿宋" w:cs="仿宋"/>
          <w:color w:val="auto"/>
          <w:sz w:val="28"/>
          <w:szCs w:val="28"/>
        </w:rPr>
        <w:t>合同附件。合同附件为本合同的组成部分，与本合同正文具有</w:t>
      </w:r>
      <w:r>
        <w:rPr>
          <w:rFonts w:hint="default" w:ascii="仿宋" w:hAnsi="仿宋" w:eastAsia="仿宋" w:cs="仿宋"/>
          <w:color w:val="auto"/>
          <w:kern w:val="2"/>
          <w:sz w:val="28"/>
          <w:szCs w:val="28"/>
        </w:rPr>
        <w:t>同等法律效力。若合同附件与合同正文有任何冲突，以合同正文为准。</w:t>
      </w:r>
    </w:p>
    <w:p w14:paraId="4A5A837D">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hint="eastAsia" w:ascii="仿宋" w:hAnsi="仿宋" w:eastAsia="仿宋" w:cs="仿宋"/>
          <w:color w:val="auto"/>
          <w:sz w:val="28"/>
          <w:szCs w:val="28"/>
        </w:rPr>
      </w:pPr>
      <w:r>
        <w:rPr>
          <w:rFonts w:hint="default" w:ascii="仿宋" w:hAnsi="仿宋" w:eastAsia="仿宋" w:cs="仿宋"/>
          <w:color w:val="auto"/>
          <w:kern w:val="2"/>
          <w:sz w:val="28"/>
          <w:szCs w:val="28"/>
          <w:lang w:val="en-US" w:eastAsia="zh-CN"/>
        </w:rPr>
        <w:t>成交通知书、响应文件、竞争性磋商文件、澄清、响应补充文件；相关服务建议书；双方依法签订的补充协议都是本合同文件的组成部分</w:t>
      </w:r>
      <w:r>
        <w:rPr>
          <w:rFonts w:hint="eastAsia" w:ascii="仿宋" w:hAnsi="仿宋" w:eastAsia="仿宋" w:cs="仿宋"/>
          <w:color w:val="auto"/>
          <w:kern w:val="2"/>
          <w:sz w:val="28"/>
          <w:szCs w:val="28"/>
          <w:lang w:eastAsia="zh-CN"/>
        </w:rPr>
        <w:t>，</w:t>
      </w:r>
      <w:r>
        <w:rPr>
          <w:rFonts w:hint="eastAsia" w:ascii="仿宋" w:hAnsi="仿宋" w:eastAsia="仿宋" w:cs="仿宋"/>
          <w:color w:val="auto"/>
          <w:kern w:val="2"/>
          <w:sz w:val="28"/>
          <w:szCs w:val="28"/>
          <w:lang w:val="en-US" w:eastAsia="zh-CN"/>
        </w:rPr>
        <w:t>与本合同具</w:t>
      </w:r>
      <w:r>
        <w:rPr>
          <w:rFonts w:hint="eastAsia" w:ascii="仿宋" w:hAnsi="仿宋" w:eastAsia="仿宋" w:cs="仿宋"/>
          <w:color w:val="auto"/>
          <w:sz w:val="28"/>
          <w:szCs w:val="28"/>
        </w:rPr>
        <w:t>有</w:t>
      </w:r>
      <w:r>
        <w:rPr>
          <w:rFonts w:hint="default" w:ascii="仿宋" w:hAnsi="仿宋" w:eastAsia="仿宋" w:cs="仿宋"/>
          <w:color w:val="auto"/>
          <w:kern w:val="2"/>
          <w:sz w:val="28"/>
          <w:szCs w:val="28"/>
        </w:rPr>
        <w:t>同等法律效力</w:t>
      </w:r>
      <w:r>
        <w:rPr>
          <w:rFonts w:hint="default" w:ascii="仿宋" w:hAnsi="仿宋" w:eastAsia="仿宋" w:cs="仿宋"/>
          <w:color w:val="auto"/>
          <w:kern w:val="2"/>
          <w:sz w:val="28"/>
          <w:szCs w:val="28"/>
          <w:lang w:val="en-US" w:eastAsia="zh-CN"/>
        </w:rPr>
        <w:t>。</w:t>
      </w:r>
    </w:p>
    <w:p w14:paraId="1F77EC13">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16.15合同履行期满，如乙方不再签订合同，</w:t>
      </w:r>
      <w:r>
        <w:rPr>
          <w:rFonts w:hint="eastAsia" w:ascii="仿宋" w:hAnsi="仿宋" w:eastAsia="仿宋" w:cs="仿宋"/>
          <w:color w:val="auto"/>
          <w:sz w:val="28"/>
          <w:szCs w:val="28"/>
          <w:lang w:val="en-US" w:eastAsia="zh-CN"/>
        </w:rPr>
        <w:t>需在合同期限届满前6个月书面告知甲方</w:t>
      </w:r>
      <w:r>
        <w:rPr>
          <w:rFonts w:hint="eastAsia" w:ascii="仿宋" w:hAnsi="仿宋" w:eastAsia="仿宋" w:cs="仿宋"/>
          <w:color w:val="auto"/>
          <w:sz w:val="28"/>
          <w:szCs w:val="28"/>
        </w:rPr>
        <w:t>。</w:t>
      </w:r>
    </w:p>
    <w:p w14:paraId="7D26738C">
      <w:pPr>
        <w:pStyle w:val="11"/>
        <w:keepNext w:val="0"/>
        <w:keepLines w:val="0"/>
        <w:pageBreakBefore w:val="0"/>
        <w:tabs>
          <w:tab w:val="left" w:pos="900"/>
        </w:tabs>
        <w:kinsoku/>
        <w:wordWrap/>
        <w:overflowPunct/>
        <w:topLinePunct w:val="0"/>
        <w:autoSpaceDE/>
        <w:autoSpaceDN/>
        <w:bidi w:val="0"/>
        <w:spacing w:afterLines="0" w:line="240" w:lineRule="auto"/>
        <w:ind w:firstLine="565" w:firstLineChars="202"/>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附</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详细服务内容</w:t>
      </w:r>
    </w:p>
    <w:p w14:paraId="70A93E9B">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ascii="仿宋" w:hAnsi="仿宋" w:eastAsia="仿宋" w:cs="仿宋"/>
          <w:b w:val="0"/>
          <w:color w:val="auto"/>
          <w:sz w:val="28"/>
          <w:szCs w:val="28"/>
        </w:rPr>
      </w:pPr>
      <w:r>
        <w:rPr>
          <w:rFonts w:ascii="仿宋" w:hAnsi="仿宋" w:eastAsia="仿宋" w:cs="仿宋"/>
          <w:b w:val="0"/>
          <w:color w:val="auto"/>
          <w:sz w:val="28"/>
          <w:szCs w:val="28"/>
        </w:rPr>
        <w:t xml:space="preserve"> </w:t>
      </w:r>
    </w:p>
    <w:p w14:paraId="17C5B2EC">
      <w:pPr>
        <w:rPr>
          <w:rFonts w:ascii="仿宋" w:hAnsi="仿宋" w:eastAsia="仿宋" w:cs="仿宋"/>
          <w:b w:val="0"/>
          <w:color w:val="auto"/>
          <w:sz w:val="28"/>
          <w:szCs w:val="28"/>
        </w:rPr>
      </w:pPr>
      <w:r>
        <w:rPr>
          <w:rFonts w:ascii="仿宋" w:hAnsi="仿宋" w:eastAsia="仿宋" w:cs="仿宋"/>
          <w:b w:val="0"/>
          <w:color w:val="auto"/>
          <w:sz w:val="28"/>
          <w:szCs w:val="28"/>
        </w:rPr>
        <w:br w:type="page"/>
      </w:r>
    </w:p>
    <w:p w14:paraId="491B8474">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center"/>
        <w:textAlignment w:val="auto"/>
        <w:rPr>
          <w:rFonts w:ascii="仿宋" w:hAnsi="仿宋" w:eastAsia="仿宋" w:cs="仿宋"/>
          <w:b w:val="0"/>
          <w:bCs w:val="0"/>
          <w:color w:val="auto"/>
          <w:sz w:val="28"/>
          <w:szCs w:val="28"/>
          <w:lang w:val="zh-CN"/>
        </w:rPr>
      </w:pPr>
      <w:r>
        <w:rPr>
          <w:rFonts w:ascii="仿宋" w:hAnsi="仿宋" w:eastAsia="仿宋" w:cs="仿宋"/>
          <w:b w:val="0"/>
          <w:color w:val="auto"/>
          <w:sz w:val="28"/>
          <w:szCs w:val="28"/>
        </w:rPr>
        <w:t>(</w:t>
      </w:r>
      <w:r>
        <w:rPr>
          <w:rFonts w:hint="default" w:ascii="仿宋" w:hAnsi="仿宋" w:eastAsia="仿宋" w:cs="仿宋"/>
          <w:b w:val="0"/>
          <w:color w:val="auto"/>
          <w:sz w:val="28"/>
          <w:szCs w:val="28"/>
        </w:rPr>
        <w:t>以下无正文</w:t>
      </w:r>
      <w:r>
        <w:rPr>
          <w:rFonts w:ascii="仿宋" w:hAnsi="仿宋" w:eastAsia="仿宋" w:cs="仿宋"/>
          <w:b w:val="0"/>
          <w:color w:val="auto"/>
          <w:sz w:val="28"/>
          <w:szCs w:val="28"/>
        </w:rPr>
        <w:t>)</w:t>
      </w:r>
      <w:r>
        <w:rPr>
          <w:rFonts w:hint="default" w:ascii="仿宋" w:hAnsi="仿宋" w:eastAsia="仿宋" w:cs="仿宋"/>
          <w:b w:val="0"/>
          <w:bCs w:val="0"/>
          <w:color w:val="auto"/>
          <w:sz w:val="28"/>
          <w:szCs w:val="28"/>
          <w:lang w:val="zh-CN"/>
        </w:rPr>
        <w:t>（签字页）</w:t>
      </w:r>
    </w:p>
    <w:p w14:paraId="17F513FE">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ascii="仿宋" w:hAnsi="仿宋" w:eastAsia="仿宋" w:cs="仿宋"/>
          <w:snapToGrid w:val="0"/>
          <w:color w:val="auto"/>
          <w:sz w:val="28"/>
          <w:szCs w:val="28"/>
        </w:rPr>
      </w:pPr>
      <w:r>
        <w:rPr>
          <w:rFonts w:hint="default" w:ascii="仿宋" w:hAnsi="仿宋" w:eastAsia="仿宋" w:cs="仿宋"/>
          <w:b w:val="0"/>
          <w:bCs w:val="0"/>
          <w:color w:val="auto"/>
          <w:sz w:val="28"/>
          <w:szCs w:val="28"/>
          <w:lang w:val="zh-CN"/>
        </w:rPr>
        <w:t>甲方：</w:t>
      </w:r>
    </w:p>
    <w:p w14:paraId="14CCD708">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ascii="仿宋" w:hAnsi="仿宋" w:eastAsia="仿宋" w:cs="仿宋"/>
          <w:color w:val="auto"/>
          <w:sz w:val="28"/>
          <w:szCs w:val="28"/>
        </w:rPr>
      </w:pPr>
      <w:r>
        <w:rPr>
          <w:rFonts w:hint="eastAsia" w:ascii="仿宋" w:hAnsi="仿宋" w:eastAsia="仿宋" w:cs="仿宋"/>
          <w:snapToGrid w:val="0"/>
          <w:color w:val="auto"/>
          <w:sz w:val="28"/>
          <w:szCs w:val="28"/>
        </w:rPr>
        <w:t>甲方代表：</w:t>
      </w:r>
    </w:p>
    <w:p w14:paraId="6D487F6C">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ascii="仿宋" w:hAnsi="仿宋" w:eastAsia="仿宋" w:cs="仿宋"/>
          <w:snapToGrid/>
          <w:color w:val="auto"/>
          <w:sz w:val="28"/>
          <w:szCs w:val="28"/>
          <w:u w:val="none"/>
        </w:rPr>
      </w:pPr>
      <w:r>
        <w:rPr>
          <w:rFonts w:hint="eastAsia" w:ascii="仿宋" w:hAnsi="仿宋" w:eastAsia="仿宋" w:cs="仿宋"/>
          <w:snapToGrid w:val="0"/>
          <w:color w:val="auto"/>
          <w:sz w:val="28"/>
          <w:szCs w:val="28"/>
        </w:rPr>
        <w:t xml:space="preserve">日期：        </w:t>
      </w:r>
      <w:r>
        <w:rPr>
          <w:rFonts w:hint="default" w:ascii="仿宋" w:hAnsi="仿宋" w:eastAsia="仿宋" w:cs="仿宋"/>
          <w:bCs w:val="0"/>
          <w:color w:val="auto"/>
          <w:sz w:val="28"/>
          <w:szCs w:val="28"/>
        </w:rPr>
        <w:t>年          月          日</w:t>
      </w:r>
    </w:p>
    <w:p w14:paraId="67FBC3B9">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default" w:ascii="仿宋" w:hAnsi="仿宋" w:eastAsia="仿宋" w:cs="仿宋"/>
          <w:b w:val="0"/>
          <w:bCs w:val="0"/>
          <w:color w:val="auto"/>
          <w:sz w:val="28"/>
          <w:szCs w:val="28"/>
          <w:lang w:val="zh-CN"/>
        </w:rPr>
      </w:pPr>
      <w:r>
        <w:rPr>
          <w:rFonts w:hint="default" w:ascii="仿宋" w:hAnsi="仿宋" w:eastAsia="仿宋" w:cs="仿宋"/>
          <w:b w:val="0"/>
          <w:bCs w:val="0"/>
          <w:color w:val="auto"/>
          <w:sz w:val="28"/>
          <w:szCs w:val="28"/>
          <w:lang w:val="zh-CN"/>
        </w:rPr>
        <w:t>乙方：</w:t>
      </w:r>
    </w:p>
    <w:p w14:paraId="2BE9447A">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eastAsia" w:ascii="仿宋" w:hAnsi="仿宋" w:eastAsia="仿宋" w:cs="仿宋"/>
          <w:snapToGrid w:val="0"/>
          <w:color w:val="auto"/>
          <w:sz w:val="28"/>
          <w:szCs w:val="28"/>
        </w:rPr>
      </w:pPr>
      <w:r>
        <w:rPr>
          <w:rFonts w:hint="eastAsia" w:ascii="仿宋" w:hAnsi="仿宋" w:eastAsia="仿宋" w:cs="仿宋"/>
          <w:snapToGrid w:val="0"/>
          <w:color w:val="auto"/>
          <w:sz w:val="28"/>
          <w:szCs w:val="28"/>
        </w:rPr>
        <w:t>乙方代表：</w:t>
      </w:r>
    </w:p>
    <w:p w14:paraId="6C7ABD6D">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default" w:ascii="仿宋" w:hAnsi="仿宋" w:eastAsia="仿宋" w:cs="仿宋"/>
          <w:bCs w:val="0"/>
          <w:color w:val="auto"/>
          <w:sz w:val="28"/>
          <w:szCs w:val="28"/>
        </w:rPr>
      </w:pPr>
      <w:r>
        <w:rPr>
          <w:rFonts w:hint="eastAsia" w:ascii="仿宋" w:hAnsi="仿宋" w:eastAsia="仿宋" w:cs="仿宋"/>
          <w:snapToGrid w:val="0"/>
          <w:color w:val="auto"/>
          <w:sz w:val="28"/>
          <w:szCs w:val="28"/>
        </w:rPr>
        <w:t xml:space="preserve">日期：        </w:t>
      </w:r>
      <w:r>
        <w:rPr>
          <w:rFonts w:hint="default" w:ascii="仿宋" w:hAnsi="仿宋" w:eastAsia="仿宋" w:cs="仿宋"/>
          <w:bCs w:val="0"/>
          <w:color w:val="auto"/>
          <w:sz w:val="28"/>
          <w:szCs w:val="28"/>
        </w:rPr>
        <w:t>年          月           日</w:t>
      </w:r>
    </w:p>
    <w:p w14:paraId="59FE2BF3">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default" w:ascii="仿宋" w:hAnsi="仿宋" w:eastAsia="仿宋" w:cs="仿宋"/>
          <w:bCs w:val="0"/>
          <w:color w:val="auto"/>
          <w:sz w:val="28"/>
          <w:szCs w:val="28"/>
        </w:rPr>
      </w:pPr>
    </w:p>
    <w:p w14:paraId="11EDAE89">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default" w:ascii="仿宋" w:hAnsi="仿宋" w:eastAsia="仿宋" w:cs="仿宋"/>
          <w:bCs w:val="0"/>
          <w:color w:val="auto"/>
          <w:sz w:val="28"/>
          <w:szCs w:val="28"/>
        </w:rPr>
      </w:pPr>
    </w:p>
    <w:p w14:paraId="7D48C383">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default" w:ascii="仿宋" w:hAnsi="仿宋" w:eastAsia="仿宋" w:cs="仿宋"/>
          <w:bCs w:val="0"/>
          <w:color w:val="auto"/>
          <w:sz w:val="28"/>
          <w:szCs w:val="28"/>
        </w:rPr>
      </w:pPr>
    </w:p>
    <w:p w14:paraId="1875A5A5">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default" w:ascii="仿宋" w:hAnsi="仿宋" w:eastAsia="仿宋" w:cs="仿宋"/>
          <w:bCs w:val="0"/>
          <w:color w:val="auto"/>
          <w:sz w:val="28"/>
          <w:szCs w:val="28"/>
        </w:rPr>
      </w:pPr>
    </w:p>
    <w:p w14:paraId="59AEB12C">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default" w:ascii="仿宋" w:hAnsi="仿宋" w:eastAsia="仿宋" w:cs="仿宋"/>
          <w:bCs w:val="0"/>
          <w:color w:val="auto"/>
          <w:sz w:val="28"/>
          <w:szCs w:val="28"/>
        </w:rPr>
      </w:pPr>
    </w:p>
    <w:p w14:paraId="26697437">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default" w:ascii="仿宋" w:hAnsi="仿宋" w:eastAsia="仿宋" w:cs="仿宋"/>
          <w:bCs w:val="0"/>
          <w:color w:val="auto"/>
          <w:sz w:val="28"/>
          <w:szCs w:val="28"/>
        </w:rPr>
      </w:pPr>
    </w:p>
    <w:p w14:paraId="66B004C7">
      <w:pPr>
        <w:pStyle w:val="11"/>
        <w:keepNext w:val="0"/>
        <w:keepLines w:val="0"/>
        <w:pageBreakBefore w:val="0"/>
        <w:tabs>
          <w:tab w:val="left" w:pos="900"/>
        </w:tabs>
        <w:kinsoku/>
        <w:wordWrap/>
        <w:overflowPunct/>
        <w:topLinePunct w:val="0"/>
        <w:autoSpaceDE/>
        <w:autoSpaceDN/>
        <w:bidi w:val="0"/>
        <w:spacing w:line="240" w:lineRule="auto"/>
        <w:ind w:firstLine="565" w:firstLineChars="202"/>
        <w:jc w:val="both"/>
        <w:textAlignment w:val="auto"/>
        <w:rPr>
          <w:rFonts w:hint="default" w:ascii="仿宋" w:hAnsi="仿宋" w:eastAsia="仿宋" w:cs="仿宋"/>
          <w:bCs w:val="0"/>
          <w:color w:val="auto"/>
          <w:sz w:val="28"/>
          <w:szCs w:val="28"/>
        </w:rPr>
      </w:pPr>
    </w:p>
    <w:p w14:paraId="176F6C24">
      <w:pPr>
        <w:rPr>
          <w:rFonts w:hint="eastAsia" w:ascii="楷体_GB2312" w:hAnsi="宋体" w:eastAsia="楷体_GB2312" w:cs="楷体_GB2312"/>
          <w:color w:val="auto"/>
          <w:sz w:val="28"/>
          <w:szCs w:val="28"/>
          <w:lang w:val="en-US" w:eastAsia="zh-CN"/>
        </w:rPr>
      </w:pPr>
      <w:r>
        <w:rPr>
          <w:rFonts w:hint="eastAsia" w:ascii="楷体_GB2312" w:hAnsi="宋体" w:eastAsia="楷体_GB2312" w:cs="楷体_GB2312"/>
          <w:color w:val="auto"/>
          <w:sz w:val="28"/>
          <w:szCs w:val="28"/>
          <w:lang w:val="en-US" w:eastAsia="zh-CN"/>
        </w:rPr>
        <w:br w:type="page"/>
      </w:r>
    </w:p>
    <w:p w14:paraId="1E73D90F">
      <w:pPr>
        <w:keepNext w:val="0"/>
        <w:keepLines w:val="0"/>
        <w:pageBreakBefore w:val="0"/>
        <w:widowControl w:val="0"/>
        <w:kinsoku/>
        <w:wordWrap/>
        <w:overflowPunct/>
        <w:topLinePunct w:val="0"/>
        <w:autoSpaceDE w:val="0"/>
        <w:autoSpaceDN w:val="0"/>
        <w:bidi w:val="0"/>
        <w:adjustRightInd w:val="0"/>
        <w:snapToGrid w:val="0"/>
        <w:spacing w:after="0"/>
        <w:jc w:val="both"/>
        <w:textAlignment w:val="auto"/>
        <w:rPr>
          <w:rFonts w:hint="eastAsia" w:ascii="楷体_GB2312" w:hAnsi="宋体" w:eastAsia="楷体_GB2312" w:cs="楷体_GB2312"/>
          <w:color w:val="auto"/>
          <w:sz w:val="28"/>
          <w:szCs w:val="28"/>
          <w:lang w:val="en-US" w:eastAsia="zh-CN"/>
        </w:rPr>
      </w:pPr>
      <w:r>
        <w:rPr>
          <w:rFonts w:hint="eastAsia" w:ascii="楷体_GB2312" w:hAnsi="宋体" w:eastAsia="楷体_GB2312" w:cs="楷体_GB2312"/>
          <w:color w:val="auto"/>
          <w:sz w:val="28"/>
          <w:szCs w:val="28"/>
          <w:lang w:val="en-US" w:eastAsia="zh-CN"/>
        </w:rPr>
        <w:t>附件：1、硬件服务内容</w:t>
      </w:r>
    </w:p>
    <w:tbl>
      <w:tblPr>
        <w:tblStyle w:val="7"/>
        <w:tblpPr w:leftFromText="180" w:rightFromText="180" w:vertAnchor="text" w:horzAnchor="page" w:tblpX="1184" w:tblpY="953"/>
        <w:tblOverlap w:val="never"/>
        <w:tblW w:w="900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0"/>
        <w:gridCol w:w="2498"/>
        <w:gridCol w:w="1694"/>
        <w:gridCol w:w="733"/>
        <w:gridCol w:w="812"/>
        <w:gridCol w:w="2426"/>
      </w:tblGrid>
      <w:tr w14:paraId="3DE75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9003" w:type="dxa"/>
            <w:gridSpan w:val="6"/>
            <w:tcBorders>
              <w:top w:val="single" w:color="000000" w:sz="4" w:space="0"/>
              <w:left w:val="single" w:color="000000" w:sz="4" w:space="0"/>
              <w:bottom w:val="single" w:color="000000" w:sz="4" w:space="0"/>
              <w:right w:val="single" w:color="000000" w:sz="4" w:space="0"/>
            </w:tcBorders>
            <w:noWrap/>
            <w:vAlign w:val="center"/>
          </w:tcPr>
          <w:p w14:paraId="6B4DFCB7">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硬 件 和 系 统 软 件 运 维 清 单</w:t>
            </w:r>
          </w:p>
        </w:tc>
      </w:tr>
      <w:tr w14:paraId="0CD78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7" w:hRule="atLeast"/>
        </w:trPr>
        <w:tc>
          <w:tcPr>
            <w:tcW w:w="840" w:type="dxa"/>
            <w:tcBorders>
              <w:top w:val="single" w:color="000000" w:sz="4" w:space="0"/>
              <w:left w:val="single" w:color="000000" w:sz="4" w:space="0"/>
              <w:bottom w:val="single" w:color="000000" w:sz="4" w:space="0"/>
              <w:right w:val="single" w:color="000000" w:sz="4" w:space="0"/>
            </w:tcBorders>
            <w:noWrap/>
            <w:vAlign w:val="center"/>
          </w:tcPr>
          <w:p w14:paraId="41917979">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序号</w:t>
            </w:r>
          </w:p>
        </w:tc>
        <w:tc>
          <w:tcPr>
            <w:tcW w:w="2498" w:type="dxa"/>
            <w:tcBorders>
              <w:top w:val="single" w:color="000000" w:sz="4" w:space="0"/>
              <w:left w:val="single" w:color="000000" w:sz="4" w:space="0"/>
              <w:bottom w:val="single" w:color="000000" w:sz="4" w:space="0"/>
              <w:right w:val="single" w:color="000000" w:sz="4" w:space="0"/>
            </w:tcBorders>
            <w:noWrap/>
            <w:vAlign w:val="center"/>
          </w:tcPr>
          <w:p w14:paraId="31C75EE1">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服务（产品）名称</w:t>
            </w:r>
          </w:p>
        </w:tc>
        <w:tc>
          <w:tcPr>
            <w:tcW w:w="1694" w:type="dxa"/>
            <w:tcBorders>
              <w:top w:val="single" w:color="000000" w:sz="4" w:space="0"/>
              <w:left w:val="single" w:color="000000" w:sz="4" w:space="0"/>
              <w:bottom w:val="single" w:color="000000" w:sz="4" w:space="0"/>
              <w:right w:val="single" w:color="000000" w:sz="4" w:space="0"/>
            </w:tcBorders>
            <w:noWrap/>
            <w:vAlign w:val="center"/>
          </w:tcPr>
          <w:p w14:paraId="0EA1E340">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制造商</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30F6C9B5">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单位</w:t>
            </w:r>
          </w:p>
        </w:tc>
        <w:tc>
          <w:tcPr>
            <w:tcW w:w="812" w:type="dxa"/>
            <w:tcBorders>
              <w:top w:val="single" w:color="000000" w:sz="4" w:space="0"/>
              <w:left w:val="single" w:color="000000" w:sz="4" w:space="0"/>
              <w:bottom w:val="single" w:color="000000" w:sz="4" w:space="0"/>
              <w:right w:val="single" w:color="000000" w:sz="4" w:space="0"/>
            </w:tcBorders>
            <w:noWrap/>
            <w:vAlign w:val="center"/>
          </w:tcPr>
          <w:p w14:paraId="33C7C350">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数量</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7581AAEC">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备注</w:t>
            </w:r>
          </w:p>
        </w:tc>
      </w:tr>
      <w:tr w14:paraId="46006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3DBE747">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43EB7B29">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2"/>
                <w:rFonts w:hint="eastAsia" w:ascii="仿宋_GB2312" w:hAnsi="仿宋_GB2312" w:eastAsia="仿宋_GB2312" w:cs="仿宋_GB2312"/>
                <w:lang w:val="en-US" w:eastAsia="zh-CN" w:bidi="ar"/>
              </w:rPr>
              <w:t>接入网络交换机</w:t>
            </w:r>
            <w:r>
              <w:rPr>
                <w:rStyle w:val="13"/>
                <w:rFonts w:hint="eastAsia" w:ascii="仿宋_GB2312" w:hAnsi="仿宋_GB2312" w:eastAsia="仿宋_GB2312" w:cs="仿宋_GB2312"/>
                <w:lang w:val="en-US" w:eastAsia="zh-CN" w:bidi="ar"/>
              </w:rPr>
              <w:t>-</w:t>
            </w:r>
            <w:r>
              <w:rPr>
                <w:rStyle w:val="12"/>
                <w:rFonts w:hint="eastAsia" w:ascii="仿宋_GB2312" w:hAnsi="仿宋_GB2312" w:eastAsia="仿宋_GB2312" w:cs="仿宋_GB2312"/>
                <w:lang w:val="en-US" w:eastAsia="zh-CN" w:bidi="ar"/>
              </w:rPr>
              <w:t>指挥中心博达</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191CC64">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上海博达数据通信有限公司</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1E91B0B8">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48A29032">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BE9F052">
            <w:pPr>
              <w:keepNext w:val="0"/>
              <w:keepLines w:val="0"/>
              <w:pageBreakBefore w:val="0"/>
              <w:widowControl w:val="0"/>
              <w:suppressLineNumbers w:val="0"/>
              <w:kinsoku/>
              <w:wordWrap/>
              <w:overflowPunct/>
              <w:topLinePunct w:val="0"/>
              <w:autoSpaceDE w:val="0"/>
              <w:autoSpaceDN w:val="0"/>
              <w:bidi w:val="0"/>
              <w:adjustRightInd/>
              <w:snapToGrid w:val="0"/>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20284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73D147AC">
            <w:pPr>
              <w:keepNext w:val="0"/>
              <w:keepLines w:val="0"/>
              <w:pageBreakBefore w:val="0"/>
              <w:widowControl w:val="0"/>
              <w:suppressLineNumbers w:val="0"/>
              <w:kinsoku/>
              <w:wordWrap/>
              <w:overflowPunct/>
              <w:topLinePunct w:val="0"/>
              <w:autoSpaceDE w:val="0"/>
              <w:autoSpaceDN w:val="0"/>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2DE155F">
            <w:pPr>
              <w:keepNext w:val="0"/>
              <w:keepLines w:val="0"/>
              <w:pageBreakBefore w:val="0"/>
              <w:widowControl w:val="0"/>
              <w:suppressLineNumbers w:val="0"/>
              <w:kinsoku/>
              <w:wordWrap/>
              <w:overflowPunct/>
              <w:topLinePunct w:val="0"/>
              <w:autoSpaceDE w:val="0"/>
              <w:autoSpaceDN w:val="0"/>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高端服务器</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930F1CD">
            <w:pPr>
              <w:keepNext w:val="0"/>
              <w:keepLines w:val="0"/>
              <w:pageBreakBefore w:val="0"/>
              <w:widowControl w:val="0"/>
              <w:suppressLineNumbers w:val="0"/>
              <w:kinsoku/>
              <w:wordWrap/>
              <w:overflowPunct/>
              <w:topLinePunct w:val="0"/>
              <w:autoSpaceDE w:val="0"/>
              <w:autoSpaceDN w:val="0"/>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IBM</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3E2449E0">
            <w:pPr>
              <w:keepNext w:val="0"/>
              <w:keepLines w:val="0"/>
              <w:pageBreakBefore w:val="0"/>
              <w:widowControl w:val="0"/>
              <w:suppressLineNumbers w:val="0"/>
              <w:kinsoku/>
              <w:wordWrap/>
              <w:overflowPunct/>
              <w:topLinePunct w:val="0"/>
              <w:autoSpaceDE w:val="0"/>
              <w:autoSpaceDN w:val="0"/>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5D5B17B4">
            <w:pPr>
              <w:keepNext w:val="0"/>
              <w:keepLines w:val="0"/>
              <w:pageBreakBefore w:val="0"/>
              <w:widowControl w:val="0"/>
              <w:suppressLineNumbers w:val="0"/>
              <w:kinsoku/>
              <w:wordWrap/>
              <w:overflowPunct/>
              <w:topLinePunct w:val="0"/>
              <w:autoSpaceDE w:val="0"/>
              <w:autoSpaceDN w:val="0"/>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49B80A2D">
            <w:pPr>
              <w:keepNext w:val="0"/>
              <w:keepLines w:val="0"/>
              <w:pageBreakBefore w:val="0"/>
              <w:widowControl w:val="0"/>
              <w:suppressLineNumbers w:val="0"/>
              <w:kinsoku/>
              <w:wordWrap/>
              <w:overflowPunct/>
              <w:topLinePunct w:val="0"/>
              <w:autoSpaceDE w:val="0"/>
              <w:autoSpaceDN w:val="0"/>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36525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621DD87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148F4DE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中端服务器</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6FB8BAC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IBM</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4CF4D50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4626087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5</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3FB9EED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6D04D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AEA674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2AE2295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UPS</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D92945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艾默生</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18E8CFD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6060485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3C2317B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1A881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5A6D62D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5</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5F001A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蓄电池组</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FC41A3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冠军</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1E39D97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52A1F4C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60</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248A24B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55F32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0C0B3A3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6</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53E2914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电源系统及配电柜</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6DB86B9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国产</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23546C9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7AE01F0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25EB0EC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51094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14AA376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7</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0BE6B2F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各执法中队工作站</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7C97F96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联想</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10E6EE9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6CD3CF2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16</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4622182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7B535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4928452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8</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1E27D26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前端摄像机、视频信号线路、摄像机云台控制线路、电源接电</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66E614A6">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002929B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点</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5E14B6E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342D6E9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59302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7"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5F12FBF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9</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E84B85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监控主机的设备检测、系统维护、扩容、故障排除</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42C7394E">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471DC51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点</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76C9A10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58C33E7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21098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9C4366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0518602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光模块</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3673922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H3C</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4962C71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个</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736EB4A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4D73E7D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230D1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7C030FB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11</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385CFE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交换机</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12FDC79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H3C</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3BD5BC5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0BFB860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35B7756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77B89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36D9722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12</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6ECD010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防火墙</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1D8CD45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H3C</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3D6367A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57A603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8AD6AC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7873F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52B9DE6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13</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E73B9F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记录仪综合平台</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E3BC4E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海康威视</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3B314C4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5F4C3DA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70F1B79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定期更新、升级</w:t>
            </w:r>
          </w:p>
        </w:tc>
      </w:tr>
      <w:tr w14:paraId="6E238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7F1524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14</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021A03B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视频管理平台</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F0E5FB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海康威视</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5350F6E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5694461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5D133A6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定期更新、升级</w:t>
            </w:r>
          </w:p>
        </w:tc>
      </w:tr>
      <w:tr w14:paraId="7CEC9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543E2A3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15</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2D61856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3"/>
                <w:rFonts w:hint="eastAsia" w:ascii="仿宋_GB2312" w:hAnsi="仿宋_GB2312" w:eastAsia="仿宋_GB2312" w:cs="仿宋_GB2312"/>
                <w:lang w:val="en-US" w:eastAsia="zh-CN" w:bidi="ar"/>
              </w:rPr>
              <w:t xml:space="preserve">LED </w:t>
            </w:r>
            <w:r>
              <w:rPr>
                <w:rStyle w:val="12"/>
                <w:rFonts w:hint="eastAsia" w:ascii="仿宋_GB2312" w:hAnsi="仿宋_GB2312" w:eastAsia="仿宋_GB2312" w:cs="仿宋_GB2312"/>
                <w:lang w:val="en-US" w:eastAsia="zh-CN" w:bidi="ar"/>
              </w:rPr>
              <w:t>大屏</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EE26D4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海康威视</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7BCE2FF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3B483D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11.4</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372190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53A1F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613B684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16</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0A306E7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3"/>
                <w:rFonts w:hint="eastAsia" w:ascii="仿宋_GB2312" w:hAnsi="仿宋_GB2312" w:eastAsia="仿宋_GB2312" w:cs="仿宋_GB2312"/>
                <w:lang w:val="en-US" w:eastAsia="zh-CN" w:bidi="ar"/>
              </w:rPr>
              <w:t xml:space="preserve">LED </w:t>
            </w:r>
            <w:r>
              <w:rPr>
                <w:rStyle w:val="12"/>
                <w:rFonts w:hint="eastAsia" w:ascii="仿宋_GB2312" w:hAnsi="仿宋_GB2312" w:eastAsia="仿宋_GB2312" w:cs="仿宋_GB2312"/>
                <w:lang w:val="en-US" w:eastAsia="zh-CN" w:bidi="ar"/>
              </w:rPr>
              <w:t>拼接屏支架</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0E0525B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尖创</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037BFAA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395C5A0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0D13BE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66D61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52EC87F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17</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0448F33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3"/>
                <w:rFonts w:hint="eastAsia" w:ascii="仿宋_GB2312" w:hAnsi="仿宋_GB2312" w:eastAsia="仿宋_GB2312" w:cs="仿宋_GB2312"/>
                <w:lang w:val="en-US" w:eastAsia="zh-CN" w:bidi="ar"/>
              </w:rPr>
              <w:t xml:space="preserve">LED </w:t>
            </w:r>
            <w:r>
              <w:rPr>
                <w:rStyle w:val="12"/>
                <w:rFonts w:hint="eastAsia" w:ascii="仿宋_GB2312" w:hAnsi="仿宋_GB2312" w:eastAsia="仿宋_GB2312" w:cs="仿宋_GB2312"/>
                <w:lang w:val="en-US" w:eastAsia="zh-CN" w:bidi="ar"/>
              </w:rPr>
              <w:t>控制卡</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1695684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海康威视</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6174F2F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0F9DB8B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4238128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29947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E877C2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18</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289E793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高清解码器</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683F4D4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海康威视</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7AB7B75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4727D42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C07189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6BB2F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509D918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19</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4AE0B49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大屏专用线缆</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74AD0F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秦安</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185CBE7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根</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406E3D6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16</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099BA47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32B04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01FF3B8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20</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256F279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机房专用空调</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02A76CC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艾默生</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7FB0FC5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AF7621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32AE97E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74DAE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171FEAD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21</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1636CF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服务器</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1904368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联想</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271D14D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74A5AC8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C9E2C6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3509C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7"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BF29CE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22</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1F65F2E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2"/>
                <w:rFonts w:hint="eastAsia" w:ascii="仿宋_GB2312" w:hAnsi="仿宋_GB2312" w:eastAsia="仿宋_GB2312" w:cs="仿宋_GB2312"/>
                <w:lang w:val="en-US" w:eastAsia="zh-CN" w:bidi="ar"/>
              </w:rPr>
              <w:t>虚拟化软件</w:t>
            </w:r>
            <w:r>
              <w:rPr>
                <w:rStyle w:val="13"/>
                <w:rFonts w:hint="eastAsia" w:ascii="仿宋_GB2312" w:hAnsi="仿宋_GB2312" w:eastAsia="仿宋_GB2312" w:cs="仿宋_GB2312"/>
                <w:lang w:val="en-US" w:eastAsia="zh-CN" w:bidi="ar"/>
              </w:rPr>
              <w:t>VMWAREvSPHERE</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04C9522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联想</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17EB6F4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5D601D4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2E3243B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定期更新、升级</w:t>
            </w:r>
          </w:p>
        </w:tc>
      </w:tr>
      <w:tr w14:paraId="7A63B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30477CA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23</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4B17045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交换机</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6038D72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H3C</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3C1DDDE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E316EA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5D23A49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3451C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0CE53F2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24</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9CAE98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数据存储设备</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442ED22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联想</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5E0E75B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0EB2CD4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4E67015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16E49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0B1398E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25</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D3D94A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3"/>
                <w:rFonts w:hint="eastAsia" w:ascii="仿宋_GB2312" w:hAnsi="仿宋_GB2312" w:eastAsia="仿宋_GB2312" w:cs="仿宋_GB2312"/>
                <w:lang w:val="en-US" w:eastAsia="zh-CN" w:bidi="ar"/>
              </w:rPr>
              <w:t xml:space="preserve">VPN </w:t>
            </w:r>
            <w:r>
              <w:rPr>
                <w:rStyle w:val="12"/>
                <w:rFonts w:hint="eastAsia" w:ascii="仿宋_GB2312" w:hAnsi="仿宋_GB2312" w:eastAsia="仿宋_GB2312" w:cs="仿宋_GB2312"/>
                <w:lang w:val="en-US" w:eastAsia="zh-CN" w:bidi="ar"/>
              </w:rPr>
              <w:t>防火墙</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41D77D6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H3C</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3C11B1A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E7E68A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4F4E897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2B28F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3754328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26</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42EFEFA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kvm</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7933647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三拓</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3620546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03783A8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016F565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21476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61CD000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27</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10DE0F4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3"/>
                <w:rFonts w:hint="eastAsia" w:ascii="仿宋_GB2312" w:hAnsi="仿宋_GB2312" w:eastAsia="仿宋_GB2312" w:cs="仿宋_GB2312"/>
                <w:lang w:val="en-US" w:eastAsia="zh-CN" w:bidi="ar"/>
              </w:rPr>
              <w:t xml:space="preserve">GIS </w:t>
            </w:r>
            <w:r>
              <w:rPr>
                <w:rStyle w:val="12"/>
                <w:rFonts w:hint="eastAsia" w:ascii="仿宋_GB2312" w:hAnsi="仿宋_GB2312" w:eastAsia="仿宋_GB2312" w:cs="仿宋_GB2312"/>
                <w:lang w:val="en-US" w:eastAsia="zh-CN" w:bidi="ar"/>
              </w:rPr>
              <w:t>平台</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10D8651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政通</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4886A7B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AA5249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10607F7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定期更新、升级</w:t>
            </w:r>
          </w:p>
        </w:tc>
      </w:tr>
      <w:tr w14:paraId="220D3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E9A12D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28</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5FA0C85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2"/>
                <w:rFonts w:hint="eastAsia" w:ascii="仿宋_GB2312" w:hAnsi="仿宋_GB2312" w:eastAsia="仿宋_GB2312" w:cs="仿宋_GB2312"/>
                <w:lang w:val="en-US" w:eastAsia="zh-CN" w:bidi="ar"/>
              </w:rPr>
              <w:t>中间件</w:t>
            </w:r>
            <w:r>
              <w:rPr>
                <w:rStyle w:val="13"/>
                <w:rFonts w:hint="eastAsia" w:ascii="仿宋_GB2312" w:hAnsi="仿宋_GB2312" w:eastAsia="仿宋_GB2312" w:cs="仿宋_GB2312"/>
                <w:lang w:val="en-US" w:eastAsia="zh-CN" w:bidi="ar"/>
              </w:rPr>
              <w:t xml:space="preserve"> Tomcat</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768B75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Apache</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0857450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495C9C4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02AAC05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定期更新、升级</w:t>
            </w:r>
          </w:p>
        </w:tc>
      </w:tr>
      <w:tr w14:paraId="00272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6EF935D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29</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611A089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2"/>
                <w:rFonts w:hint="eastAsia" w:ascii="仿宋_GB2312" w:hAnsi="仿宋_GB2312" w:eastAsia="仿宋_GB2312" w:cs="仿宋_GB2312"/>
                <w:lang w:val="en-US" w:eastAsia="zh-CN" w:bidi="ar"/>
              </w:rPr>
              <w:t>数据库软件</w:t>
            </w:r>
            <w:r>
              <w:rPr>
                <w:rStyle w:val="13"/>
                <w:rFonts w:hint="eastAsia" w:ascii="仿宋_GB2312" w:hAnsi="仿宋_GB2312" w:eastAsia="仿宋_GB2312" w:cs="仿宋_GB2312"/>
                <w:lang w:val="en-US" w:eastAsia="zh-CN" w:bidi="ar"/>
              </w:rPr>
              <w:t xml:space="preserve"> MySQL</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636875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SUN</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2E3E497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7F03E6D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3306ABF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定期更新、升级</w:t>
            </w:r>
          </w:p>
        </w:tc>
      </w:tr>
      <w:tr w14:paraId="7E24F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D5D6FF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30</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02A4D44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机房消防设备</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97B0D2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江西省剑安消防</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2E7BC86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0E60727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41BE200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维护设备正常运行，1月一次设备维护、除尘、保养</w:t>
            </w:r>
          </w:p>
        </w:tc>
      </w:tr>
      <w:tr w14:paraId="641A4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07D8318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31</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595E630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针式票据打印机</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68383E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爱普生</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4D70FE0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7BC3AB2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15</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06325CF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04F0E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379C13C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32</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40862E8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网络电话机</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0C716CB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北恩</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7006C16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401B7FD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06190D6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72C8F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53AB0DD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33</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5B9D3D6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风机、新风</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6E134C79">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7585A2E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75C1A20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3DDA0C6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7C179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6D570CA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34</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2C4C7BD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人员电脑</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F2BAB0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2"/>
                <w:rFonts w:hint="eastAsia" w:ascii="仿宋_GB2312" w:hAnsi="仿宋_GB2312" w:eastAsia="仿宋_GB2312" w:cs="仿宋_GB2312"/>
                <w:lang w:val="en-US" w:eastAsia="zh-CN" w:bidi="ar"/>
              </w:rPr>
              <w:t>联想</w:t>
            </w:r>
            <w:r>
              <w:rPr>
                <w:rStyle w:val="13"/>
                <w:rFonts w:hint="eastAsia" w:ascii="仿宋_GB2312" w:hAnsi="仿宋_GB2312" w:eastAsia="仿宋_GB2312" w:cs="仿宋_GB2312"/>
                <w:lang w:val="en-US" w:eastAsia="zh-CN" w:bidi="ar"/>
              </w:rPr>
              <w:t>M420</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28C2926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0C18F24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14</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3FA2BC4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303C9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1D40AE6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35</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025A20B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北三环十三个涵洞监控设备</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8B3B11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海康威视</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181BB40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1DDDCD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13</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454C58B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60734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7954797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36</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870CA2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对讲机平台</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16548C2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联想SR550</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108A07B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2A7DF6B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1A31DED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6920C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41B8CEF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37</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0565E28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对讲机便携控制台</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137A34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联想 s2 5th Gen</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75EFF06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7ACA793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5AA2AC4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37AF4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7"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4CB79EB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38</w:t>
            </w:r>
          </w:p>
        </w:tc>
        <w:tc>
          <w:tcPr>
            <w:tcW w:w="2498" w:type="dxa"/>
            <w:tcBorders>
              <w:top w:val="single" w:color="000000" w:sz="4" w:space="0"/>
              <w:left w:val="single" w:color="000000" w:sz="4" w:space="0"/>
              <w:bottom w:val="single" w:color="000000" w:sz="4" w:space="0"/>
              <w:right w:val="single" w:color="000000" w:sz="4" w:space="0"/>
            </w:tcBorders>
            <w:noWrap/>
            <w:vAlign w:val="center"/>
          </w:tcPr>
          <w:p w14:paraId="01AA63D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电费（100瓦设备）</w:t>
            </w:r>
          </w:p>
        </w:tc>
        <w:tc>
          <w:tcPr>
            <w:tcW w:w="1694" w:type="dxa"/>
            <w:tcBorders>
              <w:top w:val="single" w:color="000000" w:sz="4" w:space="0"/>
              <w:left w:val="single" w:color="000000" w:sz="4" w:space="0"/>
              <w:bottom w:val="single" w:color="000000" w:sz="4" w:space="0"/>
              <w:right w:val="single" w:color="000000" w:sz="4" w:space="0"/>
            </w:tcBorders>
            <w:noWrap/>
            <w:vAlign w:val="center"/>
          </w:tcPr>
          <w:p w14:paraId="2EC78B04">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6CDEF5BD">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812" w:type="dxa"/>
            <w:tcBorders>
              <w:top w:val="single" w:color="000000" w:sz="4" w:space="0"/>
              <w:left w:val="single" w:color="000000" w:sz="4" w:space="0"/>
              <w:bottom w:val="single" w:color="000000" w:sz="4" w:space="0"/>
              <w:right w:val="single" w:color="000000" w:sz="4" w:space="0"/>
            </w:tcBorders>
            <w:noWrap/>
            <w:vAlign w:val="center"/>
          </w:tcPr>
          <w:p w14:paraId="4C8E544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23</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0F11C66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23个摄像头，每个摄像头功率约100W</w:t>
            </w:r>
          </w:p>
        </w:tc>
      </w:tr>
      <w:tr w14:paraId="49841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09054A4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39</w:t>
            </w:r>
          </w:p>
        </w:tc>
        <w:tc>
          <w:tcPr>
            <w:tcW w:w="2498" w:type="dxa"/>
            <w:tcBorders>
              <w:top w:val="single" w:color="000000" w:sz="4" w:space="0"/>
              <w:left w:val="single" w:color="000000" w:sz="4" w:space="0"/>
              <w:bottom w:val="single" w:color="000000" w:sz="4" w:space="0"/>
              <w:right w:val="single" w:color="000000" w:sz="4" w:space="0"/>
            </w:tcBorders>
            <w:noWrap/>
            <w:vAlign w:val="center"/>
          </w:tcPr>
          <w:p w14:paraId="3948064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电视通讯费</w:t>
            </w:r>
          </w:p>
        </w:tc>
        <w:tc>
          <w:tcPr>
            <w:tcW w:w="1694" w:type="dxa"/>
            <w:tcBorders>
              <w:top w:val="single" w:color="000000" w:sz="4" w:space="0"/>
              <w:left w:val="single" w:color="000000" w:sz="4" w:space="0"/>
              <w:bottom w:val="single" w:color="000000" w:sz="4" w:space="0"/>
              <w:right w:val="single" w:color="000000" w:sz="4" w:space="0"/>
            </w:tcBorders>
            <w:noWrap/>
            <w:vAlign w:val="center"/>
          </w:tcPr>
          <w:p w14:paraId="6FA66346">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49A3129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ign w:val="center"/>
          </w:tcPr>
          <w:p w14:paraId="0255D54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03A491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每年缴纳</w:t>
            </w:r>
          </w:p>
        </w:tc>
      </w:tr>
      <w:tr w14:paraId="20B76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ACDDBF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40</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800A77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杀毒软件</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00746B09">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5825A16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7A2301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50</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9B7784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2BA0D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7D10327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41</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4AB0254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移动监控车运行及维护</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76D95C47">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6ABF38F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辆</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5698B53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728B13B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保证车辆正常运行</w:t>
            </w:r>
          </w:p>
        </w:tc>
      </w:tr>
      <w:tr w14:paraId="7278B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310CF0E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42</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6997520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移动巡检车辆</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38BDF87">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0"/>
            <w:vAlign w:val="center"/>
          </w:tcPr>
          <w:p w14:paraId="4A5E06A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辆</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0E01D47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6</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35DCA2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保证车辆正常运行</w:t>
            </w:r>
          </w:p>
        </w:tc>
      </w:tr>
      <w:tr w14:paraId="1B157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461CD8D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43</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4576267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C0504D"/>
                <w:sz w:val="22"/>
                <w:szCs w:val="22"/>
                <w:u w:val="none"/>
              </w:rPr>
            </w:pPr>
            <w:r>
              <w:rPr>
                <w:rStyle w:val="14"/>
                <w:rFonts w:hint="eastAsia" w:ascii="仿宋_GB2312" w:hAnsi="仿宋_GB2312" w:eastAsia="仿宋_GB2312" w:cs="仿宋_GB2312"/>
                <w:color w:val="auto"/>
                <w:lang w:val="en-US" w:eastAsia="zh-CN" w:bidi="ar"/>
              </w:rPr>
              <w:t>监控、</w:t>
            </w:r>
            <w:r>
              <w:rPr>
                <w:rStyle w:val="12"/>
                <w:rFonts w:hint="eastAsia" w:ascii="仿宋_GB2312" w:hAnsi="仿宋_GB2312" w:eastAsia="仿宋_GB2312" w:cs="仿宋_GB2312"/>
                <w:color w:val="auto"/>
                <w:lang w:val="en-US" w:eastAsia="zh-CN" w:bidi="ar"/>
              </w:rPr>
              <w:t>设备</w:t>
            </w:r>
            <w:r>
              <w:rPr>
                <w:rStyle w:val="12"/>
                <w:rFonts w:hint="eastAsia" w:ascii="仿宋_GB2312" w:hAnsi="仿宋_GB2312" w:eastAsia="仿宋_GB2312" w:cs="仿宋_GB2312"/>
                <w:lang w:val="en-US" w:eastAsia="zh-CN" w:bidi="ar"/>
              </w:rPr>
              <w:t>箱、防雷设施维护</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006B030A">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4EDC82F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shd w:val="clear" w:color="auto" w:fill="auto"/>
              </w:rPr>
            </w:pPr>
            <w:r>
              <w:rPr>
                <w:rFonts w:hint="eastAsia" w:ascii="仿宋_GB2312" w:hAnsi="仿宋_GB2312" w:eastAsia="仿宋_GB2312" w:cs="仿宋_GB2312"/>
                <w:i w:val="0"/>
                <w:iCs w:val="0"/>
                <w:color w:val="000000"/>
                <w:kern w:val="0"/>
                <w:sz w:val="22"/>
                <w:szCs w:val="22"/>
                <w:u w:val="none"/>
                <w:shd w:val="clear" w:color="auto" w:fill="auto"/>
                <w:lang w:val="en-US" w:eastAsia="zh-CN" w:bidi="ar"/>
              </w:rPr>
              <w:t>点</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768561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shd w:val="clear" w:color="auto" w:fill="auto"/>
              </w:rPr>
            </w:pPr>
            <w:r>
              <w:rPr>
                <w:rFonts w:hint="eastAsia" w:ascii="仿宋_GB2312" w:hAnsi="仿宋_GB2312" w:eastAsia="仿宋_GB2312" w:cs="仿宋_GB2312"/>
                <w:i w:val="0"/>
                <w:iCs w:val="0"/>
                <w:color w:val="000000"/>
                <w:kern w:val="0"/>
                <w:sz w:val="22"/>
                <w:szCs w:val="22"/>
                <w:u w:val="none"/>
                <w:shd w:val="clear" w:color="auto" w:fill="auto"/>
                <w:lang w:val="en-US" w:eastAsia="zh-CN" w:bidi="ar"/>
              </w:rPr>
              <w:t>23</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12F3137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shd w:val="clear" w:color="auto" w:fill="auto"/>
              </w:rPr>
            </w:pPr>
            <w:r>
              <w:rPr>
                <w:rFonts w:hint="eastAsia" w:ascii="仿宋_GB2312" w:hAnsi="仿宋_GB2312" w:eastAsia="仿宋_GB2312" w:cs="仿宋_GB2312"/>
                <w:i w:val="0"/>
                <w:iCs w:val="0"/>
                <w:color w:val="000000"/>
                <w:kern w:val="0"/>
                <w:sz w:val="22"/>
                <w:szCs w:val="22"/>
                <w:u w:val="none"/>
                <w:shd w:val="clear" w:color="auto" w:fill="auto"/>
                <w:lang w:val="en-US" w:eastAsia="zh-CN" w:bidi="ar"/>
              </w:rPr>
              <w:t>维护设备正常运行</w:t>
            </w:r>
          </w:p>
        </w:tc>
      </w:tr>
      <w:tr w14:paraId="57BBE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250C650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44</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1583DEF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对讲机平台软件运维</w:t>
            </w:r>
          </w:p>
        </w:tc>
        <w:tc>
          <w:tcPr>
            <w:tcW w:w="1694" w:type="dxa"/>
            <w:tcBorders>
              <w:top w:val="single" w:color="000000" w:sz="4" w:space="0"/>
              <w:left w:val="single" w:color="000000" w:sz="4" w:space="0"/>
              <w:bottom w:val="single" w:color="000000" w:sz="4" w:space="0"/>
              <w:right w:val="single" w:color="000000" w:sz="4" w:space="0"/>
            </w:tcBorders>
            <w:noWrap/>
            <w:vAlign w:val="center"/>
          </w:tcPr>
          <w:p w14:paraId="6EF59F2C">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13C42D2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次</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371EDA1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53E2BE1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系统正常运行</w:t>
            </w:r>
          </w:p>
        </w:tc>
      </w:tr>
      <w:tr w14:paraId="1EA8E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3B03996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45</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0DDA9D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Style w:val="12"/>
                <w:rFonts w:hint="eastAsia" w:ascii="仿宋_GB2312" w:hAnsi="仿宋_GB2312" w:eastAsia="仿宋_GB2312" w:cs="仿宋_GB2312"/>
                <w:lang w:val="en-US" w:eastAsia="zh-CN" w:bidi="ar"/>
              </w:rPr>
              <w:t>触摸一体机</w:t>
            </w:r>
            <w:r>
              <w:rPr>
                <w:rStyle w:val="13"/>
                <w:rFonts w:hint="eastAsia" w:ascii="仿宋_GB2312" w:hAnsi="仿宋_GB2312" w:eastAsia="仿宋_GB2312" w:cs="仿宋_GB2312"/>
                <w:lang w:val="en-US" w:eastAsia="zh-CN" w:bidi="ar"/>
              </w:rPr>
              <w:t>86</w:t>
            </w:r>
            <w:r>
              <w:rPr>
                <w:rStyle w:val="12"/>
                <w:rFonts w:hint="eastAsia" w:ascii="仿宋_GB2312" w:hAnsi="仿宋_GB2312" w:eastAsia="仿宋_GB2312" w:cs="仿宋_GB2312"/>
                <w:lang w:val="en-US" w:eastAsia="zh-CN" w:bidi="ar"/>
              </w:rPr>
              <w:t>寸</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7076FE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鸿合</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2A9A439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24818DA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3F2232C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63532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107F313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46</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3AE4787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机房调试移动电脑</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06267FB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联想</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1159130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1028D3F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70E03AF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r w14:paraId="4F69E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840" w:type="dxa"/>
            <w:tcBorders>
              <w:top w:val="single" w:color="000000" w:sz="4" w:space="0"/>
              <w:left w:val="single" w:color="000000" w:sz="4" w:space="0"/>
              <w:bottom w:val="single" w:color="000000" w:sz="4" w:space="0"/>
              <w:right w:val="single" w:color="000000" w:sz="4" w:space="0"/>
            </w:tcBorders>
            <w:noWrap w:val="0"/>
            <w:vAlign w:val="center"/>
          </w:tcPr>
          <w:p w14:paraId="0B133B2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47</w:t>
            </w:r>
          </w:p>
        </w:tc>
        <w:tc>
          <w:tcPr>
            <w:tcW w:w="2498" w:type="dxa"/>
            <w:tcBorders>
              <w:top w:val="single" w:color="000000" w:sz="4" w:space="0"/>
              <w:left w:val="single" w:color="000000" w:sz="4" w:space="0"/>
              <w:bottom w:val="single" w:color="000000" w:sz="4" w:space="0"/>
              <w:right w:val="single" w:color="000000" w:sz="4" w:space="0"/>
            </w:tcBorders>
            <w:noWrap w:val="0"/>
            <w:vAlign w:val="center"/>
          </w:tcPr>
          <w:p w14:paraId="7C9B3FD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指挥大厅空调设备</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46DE708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格力</w:t>
            </w:r>
          </w:p>
        </w:tc>
        <w:tc>
          <w:tcPr>
            <w:tcW w:w="733" w:type="dxa"/>
            <w:tcBorders>
              <w:top w:val="single" w:color="000000" w:sz="4" w:space="0"/>
              <w:left w:val="single" w:color="000000" w:sz="4" w:space="0"/>
              <w:bottom w:val="single" w:color="000000" w:sz="4" w:space="0"/>
              <w:right w:val="single" w:color="000000" w:sz="4" w:space="0"/>
            </w:tcBorders>
            <w:noWrap/>
            <w:vAlign w:val="center"/>
          </w:tcPr>
          <w:p w14:paraId="196FF8D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3DCC1D9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2426" w:type="dxa"/>
            <w:tcBorders>
              <w:top w:val="single" w:color="000000" w:sz="4" w:space="0"/>
              <w:left w:val="single" w:color="000000" w:sz="4" w:space="0"/>
              <w:bottom w:val="single" w:color="000000" w:sz="4" w:space="0"/>
              <w:right w:val="single" w:color="000000" w:sz="4" w:space="0"/>
            </w:tcBorders>
            <w:noWrap w:val="0"/>
            <w:vAlign w:val="center"/>
          </w:tcPr>
          <w:p w14:paraId="6E10F5D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维护设备正常运行</w:t>
            </w:r>
          </w:p>
        </w:tc>
      </w:tr>
    </w:tbl>
    <w:p w14:paraId="77A3DCE0">
      <w:pPr>
        <w:pStyle w:val="6"/>
        <w:ind w:left="0" w:leftChars="0" w:firstLine="0" w:firstLineChars="0"/>
        <w:jc w:val="both"/>
        <w:rPr>
          <w:rFonts w:hint="eastAsia" w:ascii="楷体_GB2312" w:hAnsi="宋体" w:eastAsia="楷体_GB2312" w:cs="楷体_GB2312"/>
          <w:color w:val="auto"/>
          <w:kern w:val="0"/>
          <w:sz w:val="28"/>
          <w:szCs w:val="28"/>
          <w:lang w:val="en-US" w:eastAsia="zh-CN" w:bidi="ar-SA"/>
        </w:rPr>
      </w:pPr>
      <w:r>
        <w:rPr>
          <w:rFonts w:hint="eastAsia" w:ascii="楷体_GB2312" w:hAnsi="宋体" w:eastAsia="楷体_GB2312" w:cs="楷体_GB2312"/>
          <w:color w:val="auto"/>
          <w:kern w:val="0"/>
          <w:sz w:val="28"/>
          <w:szCs w:val="28"/>
          <w:lang w:val="en-US" w:eastAsia="zh-CN" w:bidi="ar-SA"/>
        </w:rPr>
        <w:t>2、软件服务内容</w:t>
      </w:r>
    </w:p>
    <w:tbl>
      <w:tblPr>
        <w:tblStyle w:val="7"/>
        <w:tblW w:w="8937" w:type="dxa"/>
        <w:tblInd w:w="-34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8"/>
        <w:gridCol w:w="1428"/>
        <w:gridCol w:w="1722"/>
        <w:gridCol w:w="1607"/>
        <w:gridCol w:w="1072"/>
        <w:gridCol w:w="1267"/>
        <w:gridCol w:w="823"/>
      </w:tblGrid>
      <w:tr w14:paraId="112DE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1018" w:type="dxa"/>
            <w:tcBorders>
              <w:top w:val="single" w:color="000000" w:sz="4" w:space="0"/>
              <w:left w:val="single" w:color="000000" w:sz="4" w:space="0"/>
              <w:bottom w:val="single" w:color="000000" w:sz="4" w:space="0"/>
              <w:right w:val="single" w:color="000000" w:sz="4" w:space="0"/>
            </w:tcBorders>
            <w:noWrap/>
            <w:vAlign w:val="bottom"/>
          </w:tcPr>
          <w:p w14:paraId="09775C8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序号</w:t>
            </w:r>
          </w:p>
        </w:tc>
        <w:tc>
          <w:tcPr>
            <w:tcW w:w="3150" w:type="dxa"/>
            <w:gridSpan w:val="2"/>
            <w:tcBorders>
              <w:top w:val="single" w:color="000000" w:sz="4" w:space="0"/>
              <w:left w:val="single" w:color="000000" w:sz="4" w:space="0"/>
              <w:bottom w:val="single" w:color="000000" w:sz="4" w:space="0"/>
              <w:right w:val="single" w:color="000000" w:sz="4" w:space="0"/>
            </w:tcBorders>
            <w:noWrap/>
            <w:vAlign w:val="bottom"/>
          </w:tcPr>
          <w:p w14:paraId="47EE832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产品名称</w:t>
            </w:r>
          </w:p>
        </w:tc>
        <w:tc>
          <w:tcPr>
            <w:tcW w:w="1607" w:type="dxa"/>
            <w:tcBorders>
              <w:top w:val="single" w:color="000000" w:sz="4" w:space="0"/>
              <w:left w:val="single" w:color="000000" w:sz="4" w:space="0"/>
              <w:bottom w:val="single" w:color="000000" w:sz="4" w:space="0"/>
              <w:right w:val="single" w:color="000000" w:sz="4" w:space="0"/>
            </w:tcBorders>
            <w:noWrap w:val="0"/>
            <w:vAlign w:val="bottom"/>
          </w:tcPr>
          <w:p w14:paraId="66F73CC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规格型号</w:t>
            </w:r>
          </w:p>
        </w:tc>
        <w:tc>
          <w:tcPr>
            <w:tcW w:w="1072" w:type="dxa"/>
            <w:tcBorders>
              <w:top w:val="single" w:color="000000" w:sz="4" w:space="0"/>
              <w:left w:val="single" w:color="000000" w:sz="4" w:space="0"/>
              <w:bottom w:val="single" w:color="000000" w:sz="4" w:space="0"/>
              <w:right w:val="single" w:color="000000" w:sz="4" w:space="0"/>
            </w:tcBorders>
            <w:noWrap w:val="0"/>
            <w:vAlign w:val="bottom"/>
          </w:tcPr>
          <w:p w14:paraId="372A192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制造商</w:t>
            </w:r>
          </w:p>
        </w:tc>
        <w:tc>
          <w:tcPr>
            <w:tcW w:w="1267" w:type="dxa"/>
            <w:tcBorders>
              <w:top w:val="single" w:color="000000" w:sz="4" w:space="0"/>
              <w:left w:val="single" w:color="000000" w:sz="4" w:space="0"/>
              <w:bottom w:val="single" w:color="000000" w:sz="4" w:space="0"/>
              <w:right w:val="single" w:color="000000" w:sz="4" w:space="0"/>
            </w:tcBorders>
            <w:noWrap/>
            <w:vAlign w:val="bottom"/>
          </w:tcPr>
          <w:p w14:paraId="0C4769C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单位</w:t>
            </w:r>
          </w:p>
        </w:tc>
        <w:tc>
          <w:tcPr>
            <w:tcW w:w="823" w:type="dxa"/>
            <w:tcBorders>
              <w:top w:val="single" w:color="000000" w:sz="4" w:space="0"/>
              <w:left w:val="single" w:color="000000" w:sz="4" w:space="0"/>
              <w:bottom w:val="single" w:color="000000" w:sz="4" w:space="0"/>
              <w:right w:val="single" w:color="000000" w:sz="4" w:space="0"/>
            </w:tcBorders>
            <w:noWrap w:val="0"/>
            <w:vAlign w:val="bottom"/>
          </w:tcPr>
          <w:p w14:paraId="49B312A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数量</w:t>
            </w:r>
          </w:p>
        </w:tc>
      </w:tr>
      <w:tr w14:paraId="0620F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nil"/>
              <w:left w:val="single" w:color="000000" w:sz="4" w:space="0"/>
              <w:bottom w:val="single" w:color="000000" w:sz="4" w:space="0"/>
              <w:right w:val="single" w:color="000000" w:sz="4" w:space="0"/>
            </w:tcBorders>
            <w:noWrap w:val="0"/>
            <w:vAlign w:val="center"/>
          </w:tcPr>
          <w:p w14:paraId="4C7C12F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3150" w:type="dxa"/>
            <w:gridSpan w:val="2"/>
            <w:tcBorders>
              <w:top w:val="nil"/>
              <w:left w:val="single" w:color="000000" w:sz="4" w:space="0"/>
              <w:bottom w:val="single" w:color="000000" w:sz="4" w:space="0"/>
              <w:right w:val="single" w:color="000000" w:sz="4" w:space="0"/>
            </w:tcBorders>
            <w:noWrap w:val="0"/>
            <w:vAlign w:val="center"/>
          </w:tcPr>
          <w:p w14:paraId="45B4EBF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监督中心受理子系统</w:t>
            </w:r>
          </w:p>
        </w:tc>
        <w:tc>
          <w:tcPr>
            <w:tcW w:w="1607" w:type="dxa"/>
            <w:tcBorders>
              <w:top w:val="nil"/>
              <w:left w:val="single" w:color="000000" w:sz="4" w:space="0"/>
              <w:bottom w:val="single" w:color="000000" w:sz="4" w:space="0"/>
              <w:right w:val="single" w:color="000000" w:sz="4" w:space="0"/>
            </w:tcBorders>
            <w:noWrap w:val="0"/>
            <w:vAlign w:val="center"/>
          </w:tcPr>
          <w:p w14:paraId="271238E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nil"/>
              <w:left w:val="single" w:color="000000" w:sz="4" w:space="0"/>
              <w:bottom w:val="single" w:color="000000" w:sz="4" w:space="0"/>
              <w:right w:val="single" w:color="000000" w:sz="4" w:space="0"/>
            </w:tcBorders>
            <w:noWrap w:val="0"/>
            <w:vAlign w:val="center"/>
          </w:tcPr>
          <w:p w14:paraId="43CE6F8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nil"/>
              <w:left w:val="single" w:color="000000" w:sz="4" w:space="0"/>
              <w:bottom w:val="single" w:color="000000" w:sz="4" w:space="0"/>
              <w:right w:val="single" w:color="000000" w:sz="4" w:space="0"/>
            </w:tcBorders>
            <w:noWrap w:val="0"/>
            <w:vAlign w:val="center"/>
          </w:tcPr>
          <w:p w14:paraId="386B114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nil"/>
              <w:left w:val="single" w:color="000000" w:sz="4" w:space="0"/>
              <w:bottom w:val="single" w:color="000000" w:sz="4" w:space="0"/>
              <w:right w:val="single" w:color="000000" w:sz="4" w:space="0"/>
            </w:tcBorders>
            <w:noWrap w:val="0"/>
            <w:vAlign w:val="center"/>
          </w:tcPr>
          <w:p w14:paraId="0F8B8C4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31A59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6E00FD5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6CBB9C8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协同工作子系统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7351D1A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4C2FF9D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5E47723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2C5FA26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48C92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615B661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04DDF50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地理编码子系统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4C41988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3CD33D6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4DFBCC9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17A80E4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4E779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222E096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67049B3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监督指挥子系统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5BFBF2E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26FC022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5C464BE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1D1A6BD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4FC17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3D23924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5</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2DAE75D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综合评价子系统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63137AA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1C6B75B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7907E00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3F99A1B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51027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1E3DC95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6</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39D94C9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应用维护子系统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4910BA4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5448EA8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6D3A9F1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447490B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4E179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1EEAD02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7</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2ED2022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基础数据资源管理子系统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3F5A078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62E1B11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5094BB6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48FD567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53BFD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06C5A6F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8</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5BF188C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数据交换子系统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3DCA6A9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6926BF2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12194D5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4C73124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5B22A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47D8FBA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9</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445860A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案件智能派遣子系统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4C5AB9A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6F8B2AF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1341C98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30C6F74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79669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75BAD24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2A2AAF5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PC  端即时通讯子系统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1B3C433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61F7608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1320FE0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692ADB6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17A09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323E747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11</w:t>
            </w:r>
          </w:p>
        </w:tc>
        <w:tc>
          <w:tcPr>
            <w:tcW w:w="3150" w:type="dxa"/>
            <w:gridSpan w:val="2"/>
            <w:tcBorders>
              <w:top w:val="single" w:color="000000" w:sz="4" w:space="0"/>
              <w:left w:val="single" w:color="000000" w:sz="4" w:space="0"/>
              <w:bottom w:val="single" w:color="000000" w:sz="4" w:space="0"/>
              <w:right w:val="single" w:color="000000" w:sz="4" w:space="0"/>
            </w:tcBorders>
            <w:noWrap w:val="0"/>
            <w:vAlign w:val="center"/>
          </w:tcPr>
          <w:p w14:paraId="313B06D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防汛排查子系统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5FDD5E3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388DFF0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32BB3AC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007878B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14513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6A44B04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12</w:t>
            </w:r>
          </w:p>
        </w:tc>
        <w:tc>
          <w:tcPr>
            <w:tcW w:w="1428" w:type="dxa"/>
            <w:vMerge w:val="restart"/>
            <w:tcBorders>
              <w:top w:val="single" w:color="000000" w:sz="4" w:space="0"/>
              <w:left w:val="single" w:color="000000" w:sz="4" w:space="0"/>
              <w:bottom w:val="single" w:color="000000" w:sz="4" w:space="0"/>
              <w:right w:val="single" w:color="000000" w:sz="4" w:space="0"/>
            </w:tcBorders>
            <w:noWrap w:val="0"/>
            <w:vAlign w:val="center"/>
          </w:tcPr>
          <w:p w14:paraId="50FA1EF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城管服务 APP</w:t>
            </w: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46B23B7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无线数据采集子系统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40F0C0E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0859289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46CD009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05FEA49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19885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36CDD54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13</w:t>
            </w:r>
          </w:p>
        </w:tc>
        <w:tc>
          <w:tcPr>
            <w:tcW w:w="14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E0011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7753285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领导移动督办子系统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7FA6A47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2DE0D31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08BD70D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27D2D0D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6577E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71AE20B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14</w:t>
            </w:r>
          </w:p>
        </w:tc>
        <w:tc>
          <w:tcPr>
            <w:tcW w:w="14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B8D72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2249D8B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移动处置子系统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140E228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3757138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15118EB7">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7F638B4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61F87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4B7F739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15</w:t>
            </w:r>
          </w:p>
        </w:tc>
        <w:tc>
          <w:tcPr>
            <w:tcW w:w="14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97445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1030459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移动端即时通讯子系统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1DD6749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741330A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0DE38E8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476750C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79459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0B16F9B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16</w:t>
            </w:r>
          </w:p>
        </w:tc>
        <w:tc>
          <w:tcPr>
            <w:tcW w:w="1428" w:type="dxa"/>
            <w:vMerge w:val="restart"/>
            <w:tcBorders>
              <w:top w:val="single" w:color="000000" w:sz="4" w:space="0"/>
              <w:left w:val="single" w:color="000000" w:sz="4" w:space="0"/>
              <w:bottom w:val="single" w:color="000000" w:sz="4" w:space="0"/>
              <w:right w:val="single" w:color="000000" w:sz="4" w:space="0"/>
            </w:tcBorders>
            <w:noWrap w:val="0"/>
            <w:vAlign w:val="center"/>
          </w:tcPr>
          <w:p w14:paraId="2444E1A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综合执法应 用平台建设</w:t>
            </w: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504769A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移动执法子系统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5BAD97E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05F7313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608F6CF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1A513D5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63AE3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16D692D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17</w:t>
            </w:r>
          </w:p>
        </w:tc>
        <w:tc>
          <w:tcPr>
            <w:tcW w:w="14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FE7BB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132B4C2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受理平台子系统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007BA7E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343512A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2ADA1C9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31F82F5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08901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2C4079A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18</w:t>
            </w:r>
          </w:p>
        </w:tc>
        <w:tc>
          <w:tcPr>
            <w:tcW w:w="14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852F5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2399098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执法办案子系统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0DC1624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6DE73F5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622F50E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37D9A9FB">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77539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5D6923C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19</w:t>
            </w:r>
          </w:p>
        </w:tc>
        <w:tc>
          <w:tcPr>
            <w:tcW w:w="14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38F57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39FDDCC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法律法规子系统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36C7DAE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3F693B7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39D959C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2F9B2D6D">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6EE07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41908CB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20</w:t>
            </w:r>
          </w:p>
        </w:tc>
        <w:tc>
          <w:tcPr>
            <w:tcW w:w="14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292BB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676F443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统计查询子系统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0233668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55C168A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377F21E5">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62A9662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6BB05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3ED9962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21</w:t>
            </w:r>
          </w:p>
        </w:tc>
        <w:tc>
          <w:tcPr>
            <w:tcW w:w="14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B70F5A">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690023D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应用维护子系统</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65E27DC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iUrban2012</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0A054F3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79163126">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6DC0F8B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r w14:paraId="1BBC8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1018" w:type="dxa"/>
            <w:tcBorders>
              <w:top w:val="single" w:color="000000" w:sz="4" w:space="0"/>
              <w:left w:val="single" w:color="000000" w:sz="4" w:space="0"/>
              <w:bottom w:val="single" w:color="000000" w:sz="4" w:space="0"/>
              <w:right w:val="single" w:color="000000" w:sz="4" w:space="0"/>
            </w:tcBorders>
            <w:noWrap w:val="0"/>
            <w:vAlign w:val="center"/>
          </w:tcPr>
          <w:p w14:paraId="1E1FD42C">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22</w:t>
            </w:r>
          </w:p>
        </w:tc>
        <w:tc>
          <w:tcPr>
            <w:tcW w:w="14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0AC76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722" w:type="dxa"/>
            <w:tcBorders>
              <w:top w:val="single" w:color="000000" w:sz="4" w:space="0"/>
              <w:left w:val="single" w:color="000000" w:sz="4" w:space="0"/>
              <w:bottom w:val="single" w:color="000000" w:sz="4" w:space="0"/>
              <w:right w:val="single" w:color="000000" w:sz="4" w:space="0"/>
            </w:tcBorders>
            <w:noWrap w:val="0"/>
            <w:vAlign w:val="center"/>
          </w:tcPr>
          <w:p w14:paraId="608D9AA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执法数据库建设</w:t>
            </w:r>
          </w:p>
        </w:tc>
        <w:tc>
          <w:tcPr>
            <w:tcW w:w="1607" w:type="dxa"/>
            <w:tcBorders>
              <w:top w:val="single" w:color="000000" w:sz="4" w:space="0"/>
              <w:left w:val="single" w:color="000000" w:sz="4" w:space="0"/>
              <w:bottom w:val="single" w:color="000000" w:sz="4" w:space="0"/>
              <w:right w:val="single" w:color="000000" w:sz="4" w:space="0"/>
            </w:tcBorders>
            <w:noWrap w:val="0"/>
            <w:vAlign w:val="center"/>
          </w:tcPr>
          <w:p w14:paraId="61DBEAD9">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定制</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57870B41">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北京</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5C0E1270">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数字政通</w:t>
            </w:r>
          </w:p>
        </w:tc>
        <w:tc>
          <w:tcPr>
            <w:tcW w:w="823" w:type="dxa"/>
            <w:tcBorders>
              <w:top w:val="single" w:color="000000" w:sz="4" w:space="0"/>
              <w:left w:val="single" w:color="000000" w:sz="4" w:space="0"/>
              <w:bottom w:val="single" w:color="000000" w:sz="4" w:space="0"/>
              <w:right w:val="single" w:color="000000" w:sz="4" w:space="0"/>
            </w:tcBorders>
            <w:noWrap w:val="0"/>
            <w:vAlign w:val="center"/>
          </w:tcPr>
          <w:p w14:paraId="05D5FEF8">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w:t>
            </w:r>
          </w:p>
        </w:tc>
      </w:tr>
    </w:tbl>
    <w:p w14:paraId="74B40980">
      <w:bookmarkStart w:id="34" w:name="_GoBack"/>
      <w:bookmarkEnd w:id="3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AGYXIQ+Frutiger-Cn">
    <w:altName w:val="宋体"/>
    <w:panose1 w:val="020B0604020202020204"/>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B46EF"/>
    <w:rsid w:val="7CCB4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qFormat/>
    <w:uiPriority w:val="0"/>
    <w:pPr>
      <w:widowControl/>
      <w:ind w:firstLine="652" w:firstLineChars="233"/>
    </w:pPr>
    <w:rPr>
      <w:rFonts w:ascii="Times New Roman"/>
      <w:sz w:val="28"/>
    </w:rPr>
  </w:style>
  <w:style w:type="paragraph" w:styleId="5">
    <w:name w:val="Body Text First Indent"/>
    <w:basedOn w:val="3"/>
    <w:next w:val="1"/>
    <w:qFormat/>
    <w:uiPriority w:val="99"/>
    <w:pPr>
      <w:spacing w:after="120" w:line="240" w:lineRule="auto"/>
      <w:ind w:firstLine="420" w:firstLineChars="100"/>
    </w:pPr>
    <w:rPr>
      <w:rFonts w:ascii="宋体" w:hAnsi="Calibri"/>
      <w:color w:val="auto"/>
      <w:sz w:val="21"/>
    </w:rPr>
  </w:style>
  <w:style w:type="paragraph" w:styleId="6">
    <w:name w:val="Body Text First Indent 2"/>
    <w:basedOn w:val="4"/>
    <w:next w:val="5"/>
    <w:unhideWhenUsed/>
    <w:qFormat/>
    <w:uiPriority w:val="99"/>
    <w:pPr>
      <w:spacing w:after="120"/>
      <w:ind w:left="420" w:leftChars="200" w:firstLine="420" w:firstLineChars="200"/>
    </w:pPr>
    <w:rPr>
      <w:rFonts w:ascii="Times New Roman"/>
      <w:kern w:val="0"/>
      <w:sz w:val="20"/>
    </w:rPr>
  </w:style>
  <w:style w:type="paragraph" w:customStyle="1" w:styleId="9">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1">
    <w:name w:val="列出段落6"/>
    <w:basedOn w:val="1"/>
    <w:qFormat/>
    <w:uiPriority w:val="99"/>
    <w:pPr>
      <w:widowControl w:val="0"/>
      <w:adjustRightInd/>
      <w:snapToGrid/>
      <w:spacing w:after="0"/>
      <w:ind w:firstLine="420" w:firstLineChars="200"/>
      <w:jc w:val="both"/>
    </w:pPr>
    <w:rPr>
      <w:rFonts w:ascii="Times New Roman" w:hAnsi="Times New Roman" w:eastAsia="宋体"/>
      <w:kern w:val="2"/>
      <w:sz w:val="21"/>
      <w:szCs w:val="24"/>
    </w:rPr>
  </w:style>
  <w:style w:type="character" w:customStyle="1" w:styleId="12">
    <w:name w:val="font11"/>
    <w:basedOn w:val="8"/>
    <w:qFormat/>
    <w:uiPriority w:val="0"/>
    <w:rPr>
      <w:rFonts w:hint="eastAsia" w:ascii="宋体" w:hAnsi="宋体" w:eastAsia="宋体" w:cs="宋体"/>
      <w:color w:val="000000"/>
      <w:sz w:val="22"/>
      <w:szCs w:val="22"/>
      <w:u w:val="none"/>
    </w:rPr>
  </w:style>
  <w:style w:type="character" w:customStyle="1" w:styleId="13">
    <w:name w:val="font41"/>
    <w:basedOn w:val="8"/>
    <w:qFormat/>
    <w:uiPriority w:val="0"/>
    <w:rPr>
      <w:rFonts w:hint="default" w:ascii="Calibri" w:hAnsi="Calibri" w:cs="Calibri"/>
      <w:color w:val="000000"/>
      <w:sz w:val="22"/>
      <w:szCs w:val="22"/>
      <w:u w:val="none"/>
    </w:rPr>
  </w:style>
  <w:style w:type="character" w:customStyle="1" w:styleId="14">
    <w:name w:val="font61"/>
    <w:basedOn w:val="8"/>
    <w:qFormat/>
    <w:uiPriority w:val="0"/>
    <w:rPr>
      <w:rFonts w:hint="eastAsia" w:ascii="宋体" w:hAnsi="宋体" w:eastAsia="宋体" w:cs="宋体"/>
      <w:color w:val="C0504D"/>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2025-07-23T03:08:00Z</dcterms:created>
  <dc:creator>doit</dc:creator>
  <cp:lastModifiedBy>doit</cp:lastModifiedBy>
  <dcterms:modified xsi:type="dcterms:W3CDTF">2025-07-23T03:08:47Z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3B90A55D9B1447C3842F86C3479CCE9B_11</vt:lpwstr>
  </property>
  <property fmtid="{D5CDD505-2E9C-101B-9397-08002B2CF9AE}" pid="4" name="KSOTemplateDocerSaveRecord">
    <vt:lpwstr>eyJoZGlkIjoiNjU3ZGIwMTYyN2VhMzEyODI5YTFjODYzYmY0ZTZjNzciLCJ1c2VySWQiOiI1NDQyNTk1OTUifQ==</vt:lpwstr>
  </property>
</Properties>
</file>