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96DD322">
      <w:pPr>
        <w:pStyle w:val="7"/>
        <w:keepNext w:val="0"/>
        <w:keepLines w:val="0"/>
        <w:pageBreakBefore w:val="0"/>
        <w:widowControl w:val="0"/>
        <w:shd w:val="clear"/>
        <w:kinsoku/>
        <w:wordWrap/>
        <w:overflowPunct/>
        <w:topLinePunct w:val="0"/>
        <w:autoSpaceDE/>
        <w:autoSpaceDN/>
        <w:bidi w:val="0"/>
        <w:adjustRightInd/>
        <w:snapToGrid/>
        <w:spacing w:before="157" w:beforeLines="50" w:after="157" w:afterLines="50" w:line="360" w:lineRule="auto"/>
        <w:jc w:val="center"/>
        <w:textAlignment w:val="auto"/>
        <w:outlineLvl w:val="1"/>
        <w:rPr>
          <w:rFonts w:hint="eastAsia" w:ascii="宋体" w:hAnsi="宋体" w:eastAsia="宋体" w:cs="宋体"/>
          <w:color w:val="auto"/>
          <w:highlight w:val="none"/>
        </w:rPr>
      </w:pPr>
      <w:r>
        <w:rPr>
          <w:rFonts w:hint="eastAsia" w:ascii="宋体" w:hAnsi="宋体" w:eastAsia="宋体" w:cs="宋体"/>
          <w:b/>
          <w:color w:val="auto"/>
          <w:sz w:val="36"/>
          <w:highlight w:val="none"/>
        </w:rPr>
        <w:t>第八章 拟签订采购合同文本</w:t>
      </w:r>
    </w:p>
    <w:p w14:paraId="21AB8B85">
      <w:pPr>
        <w:keepNext w:val="0"/>
        <w:keepLines w:val="0"/>
        <w:pageBreakBefore w:val="0"/>
        <w:widowControl w:val="0"/>
        <w:shd w:val="clear"/>
        <w:kinsoku/>
        <w:wordWrap/>
        <w:overflowPunct/>
        <w:topLinePunct w:val="0"/>
        <w:bidi w:val="0"/>
        <w:rPr>
          <w:rFonts w:hint="eastAsia" w:ascii="宋体" w:hAnsi="宋体" w:eastAsia="宋体" w:cs="宋体"/>
          <w:b/>
          <w:bCs/>
          <w:color w:val="auto"/>
          <w:sz w:val="48"/>
          <w:szCs w:val="48"/>
          <w:highlight w:val="none"/>
          <w:lang w:eastAsia="zh-CN"/>
        </w:rPr>
      </w:pPr>
    </w:p>
    <w:p w14:paraId="7419E799">
      <w:pPr>
        <w:keepNext w:val="0"/>
        <w:keepLines w:val="0"/>
        <w:pageBreakBefore w:val="0"/>
        <w:widowControl w:val="0"/>
        <w:shd w:val="clear"/>
        <w:kinsoku/>
        <w:wordWrap/>
        <w:overflowPunct/>
        <w:topLinePunct w:val="0"/>
        <w:bidi w:val="0"/>
        <w:spacing w:line="360" w:lineRule="auto"/>
        <w:jc w:val="center"/>
        <w:rPr>
          <w:rFonts w:hint="eastAsia" w:ascii="宋体" w:hAnsi="宋体" w:eastAsia="宋体" w:cs="宋体"/>
          <w:b/>
          <w:bCs/>
          <w:color w:val="auto"/>
          <w:sz w:val="52"/>
          <w:szCs w:val="52"/>
          <w:highlight w:val="none"/>
          <w:lang w:eastAsia="zh-CN"/>
        </w:rPr>
      </w:pPr>
    </w:p>
    <w:p w14:paraId="1D86AF98">
      <w:pPr>
        <w:keepNext w:val="0"/>
        <w:keepLines w:val="0"/>
        <w:pageBreakBefore w:val="0"/>
        <w:widowControl w:val="0"/>
        <w:shd w:val="clear"/>
        <w:kinsoku/>
        <w:wordWrap/>
        <w:overflowPunct/>
        <w:topLinePunct w:val="0"/>
        <w:bidi w:val="0"/>
        <w:spacing w:line="720" w:lineRule="auto"/>
        <w:jc w:val="center"/>
        <w:rPr>
          <w:rFonts w:hint="eastAsia" w:ascii="宋体" w:hAnsi="宋体" w:eastAsia="宋体" w:cs="宋体"/>
          <w:b/>
          <w:bCs/>
          <w:color w:val="auto"/>
          <w:sz w:val="48"/>
          <w:szCs w:val="48"/>
          <w:highlight w:val="none"/>
          <w:lang w:eastAsia="zh-CN"/>
        </w:rPr>
      </w:pPr>
      <w:r>
        <w:rPr>
          <w:rFonts w:hint="eastAsia" w:cs="宋体"/>
          <w:b/>
          <w:bCs/>
          <w:color w:val="auto"/>
          <w:sz w:val="48"/>
          <w:szCs w:val="48"/>
          <w:highlight w:val="none"/>
          <w:lang w:eastAsia="zh-CN"/>
        </w:rPr>
        <w:t>数字化城市管理监督指挥系统PDA城管通终端租赁及系统服务项目</w:t>
      </w:r>
    </w:p>
    <w:p w14:paraId="07D69C0B">
      <w:pPr>
        <w:keepNext w:val="0"/>
        <w:keepLines w:val="0"/>
        <w:pageBreakBefore w:val="0"/>
        <w:widowControl w:val="0"/>
        <w:shd w:val="clear"/>
        <w:kinsoku/>
        <w:wordWrap/>
        <w:overflowPunct/>
        <w:topLinePunct w:val="0"/>
        <w:bidi w:val="0"/>
        <w:jc w:val="center"/>
        <w:rPr>
          <w:rFonts w:hint="eastAsia" w:ascii="宋体" w:hAnsi="宋体" w:eastAsia="宋体" w:cs="宋体"/>
          <w:b/>
          <w:bCs/>
          <w:color w:val="auto"/>
          <w:sz w:val="44"/>
          <w:szCs w:val="44"/>
          <w:highlight w:val="none"/>
          <w:lang w:eastAsia="zh-CN"/>
        </w:rPr>
      </w:pPr>
    </w:p>
    <w:p w14:paraId="2EA0DD7F">
      <w:pPr>
        <w:keepNext w:val="0"/>
        <w:keepLines w:val="0"/>
        <w:pageBreakBefore w:val="0"/>
        <w:widowControl w:val="0"/>
        <w:shd w:val="clear"/>
        <w:kinsoku/>
        <w:wordWrap/>
        <w:overflowPunct/>
        <w:topLinePunct w:val="0"/>
        <w:bidi w:val="0"/>
        <w:rPr>
          <w:rFonts w:hint="eastAsia" w:ascii="宋体" w:hAnsi="宋体" w:eastAsia="宋体" w:cs="宋体"/>
          <w:color w:val="auto"/>
          <w:highlight w:val="none"/>
          <w:lang w:eastAsia="zh-CN"/>
        </w:rPr>
      </w:pPr>
    </w:p>
    <w:p w14:paraId="060C547C">
      <w:pPr>
        <w:keepNext w:val="0"/>
        <w:keepLines w:val="0"/>
        <w:pageBreakBefore w:val="0"/>
        <w:widowControl w:val="0"/>
        <w:shd w:val="clear"/>
        <w:kinsoku/>
        <w:wordWrap/>
        <w:overflowPunct/>
        <w:topLinePunct w:val="0"/>
        <w:bidi w:val="0"/>
        <w:rPr>
          <w:rFonts w:hint="eastAsia" w:ascii="宋体" w:hAnsi="宋体" w:eastAsia="宋体" w:cs="宋体"/>
          <w:color w:val="auto"/>
          <w:highlight w:val="none"/>
          <w:lang w:eastAsia="zh-CN"/>
        </w:rPr>
      </w:pPr>
    </w:p>
    <w:p w14:paraId="2D5F857A">
      <w:pPr>
        <w:keepNext w:val="0"/>
        <w:keepLines w:val="0"/>
        <w:pageBreakBefore w:val="0"/>
        <w:widowControl w:val="0"/>
        <w:shd w:val="clear"/>
        <w:kinsoku/>
        <w:wordWrap/>
        <w:overflowPunct/>
        <w:topLinePunct w:val="0"/>
        <w:bidi w:val="0"/>
        <w:rPr>
          <w:rFonts w:hint="eastAsia" w:ascii="宋体" w:hAnsi="宋体" w:eastAsia="宋体" w:cs="宋体"/>
          <w:color w:val="auto"/>
          <w:highlight w:val="none"/>
          <w:lang w:eastAsia="zh-CN"/>
        </w:rPr>
      </w:pPr>
    </w:p>
    <w:p w14:paraId="35219228">
      <w:pPr>
        <w:keepNext w:val="0"/>
        <w:keepLines w:val="0"/>
        <w:pageBreakBefore w:val="0"/>
        <w:widowControl w:val="0"/>
        <w:shd w:val="clear"/>
        <w:kinsoku/>
        <w:wordWrap/>
        <w:overflowPunct/>
        <w:topLinePunct w:val="0"/>
        <w:bidi w:val="0"/>
        <w:rPr>
          <w:rFonts w:hint="eastAsia" w:ascii="宋体" w:hAnsi="宋体" w:eastAsia="宋体" w:cs="宋体"/>
          <w:color w:val="auto"/>
          <w:highlight w:val="none"/>
          <w:lang w:eastAsia="zh-CN"/>
        </w:rPr>
      </w:pPr>
    </w:p>
    <w:p w14:paraId="6BD95D19">
      <w:pPr>
        <w:keepNext w:val="0"/>
        <w:keepLines w:val="0"/>
        <w:pageBreakBefore w:val="0"/>
        <w:widowControl w:val="0"/>
        <w:shd w:val="clear"/>
        <w:kinsoku/>
        <w:wordWrap/>
        <w:overflowPunct/>
        <w:topLinePunct w:val="0"/>
        <w:bidi w:val="0"/>
        <w:rPr>
          <w:rFonts w:hint="eastAsia" w:ascii="宋体" w:hAnsi="宋体" w:eastAsia="宋体" w:cs="宋体"/>
          <w:color w:val="auto"/>
          <w:highlight w:val="none"/>
          <w:lang w:eastAsia="zh-CN"/>
        </w:rPr>
      </w:pPr>
    </w:p>
    <w:p w14:paraId="1DD597A7">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right="0" w:firstLine="436" w:firstLineChars="91"/>
        <w:jc w:val="left"/>
        <w:textAlignment w:val="auto"/>
        <w:rPr>
          <w:rFonts w:hint="eastAsia" w:ascii="宋体" w:hAnsi="宋体" w:eastAsia="宋体" w:cs="宋体"/>
          <w:bCs/>
          <w:color w:val="auto"/>
          <w:sz w:val="48"/>
          <w:szCs w:val="48"/>
          <w:highlight w:val="none"/>
          <w:lang w:eastAsia="zh-CN"/>
        </w:rPr>
      </w:pPr>
    </w:p>
    <w:p w14:paraId="0E9CEBCD">
      <w:pPr>
        <w:pStyle w:val="3"/>
        <w:rPr>
          <w:rFonts w:hint="eastAsia"/>
          <w:color w:val="auto"/>
          <w:highlight w:val="none"/>
          <w:lang w:eastAsia="zh-CN"/>
        </w:rPr>
      </w:pPr>
    </w:p>
    <w:p w14:paraId="139CDE16">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right="0" w:firstLine="436" w:firstLineChars="91"/>
        <w:jc w:val="left"/>
        <w:textAlignment w:val="auto"/>
        <w:rPr>
          <w:rFonts w:hint="eastAsia" w:ascii="宋体" w:hAnsi="宋体" w:eastAsia="宋体" w:cs="宋体"/>
          <w:bCs/>
          <w:color w:val="auto"/>
          <w:sz w:val="48"/>
          <w:szCs w:val="48"/>
          <w:highlight w:val="none"/>
          <w:lang w:eastAsia="zh-CN"/>
        </w:rPr>
      </w:pPr>
    </w:p>
    <w:p w14:paraId="056B9A1E">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right="0" w:firstLine="436" w:firstLineChars="91"/>
        <w:jc w:val="left"/>
        <w:textAlignment w:val="auto"/>
        <w:rPr>
          <w:rFonts w:hint="eastAsia" w:ascii="宋体" w:hAnsi="宋体" w:eastAsia="宋体" w:cs="宋体"/>
          <w:bCs/>
          <w:color w:val="auto"/>
          <w:sz w:val="48"/>
          <w:szCs w:val="48"/>
          <w:highlight w:val="none"/>
          <w:lang w:eastAsia="zh-CN"/>
        </w:rPr>
      </w:pPr>
    </w:p>
    <w:p w14:paraId="374AFB68">
      <w:pPr>
        <w:spacing w:line="572" w:lineRule="exact"/>
        <w:jc w:val="center"/>
        <w:rPr>
          <w:b/>
          <w:color w:val="auto"/>
          <w:sz w:val="36"/>
          <w:szCs w:val="36"/>
          <w:highlight w:val="none"/>
        </w:rPr>
      </w:pPr>
      <w:r>
        <w:rPr>
          <w:rFonts w:hint="eastAsia"/>
          <w:b/>
          <w:color w:val="auto"/>
          <w:sz w:val="36"/>
          <w:szCs w:val="36"/>
          <w:highlight w:val="none"/>
        </w:rPr>
        <w:t>202</w:t>
      </w:r>
      <w:r>
        <w:rPr>
          <w:rFonts w:hint="eastAsia"/>
          <w:b/>
          <w:color w:val="auto"/>
          <w:sz w:val="36"/>
          <w:szCs w:val="36"/>
          <w:highlight w:val="none"/>
          <w:lang w:val="en-US" w:eastAsia="zh-CN"/>
        </w:rPr>
        <w:t>5</w:t>
      </w:r>
      <w:r>
        <w:rPr>
          <w:rFonts w:hint="eastAsia"/>
          <w:b/>
          <w:color w:val="auto"/>
          <w:sz w:val="36"/>
          <w:szCs w:val="36"/>
          <w:highlight w:val="none"/>
        </w:rPr>
        <w:t>年</w:t>
      </w:r>
      <w:r>
        <w:rPr>
          <w:rFonts w:hint="eastAsia"/>
          <w:b/>
          <w:color w:val="auto"/>
          <w:sz w:val="36"/>
          <w:szCs w:val="36"/>
          <w:highlight w:val="none"/>
          <w:lang w:val="en-US" w:eastAsia="zh-CN"/>
        </w:rPr>
        <w:t xml:space="preserve">  </w:t>
      </w:r>
      <w:r>
        <w:rPr>
          <w:rFonts w:hint="eastAsia"/>
          <w:b/>
          <w:color w:val="auto"/>
          <w:sz w:val="36"/>
          <w:szCs w:val="36"/>
          <w:highlight w:val="none"/>
        </w:rPr>
        <w:t>月</w:t>
      </w:r>
    </w:p>
    <w:p w14:paraId="16B4C5E1">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right="0" w:firstLine="436" w:firstLineChars="91"/>
        <w:jc w:val="left"/>
        <w:textAlignment w:val="auto"/>
        <w:rPr>
          <w:rFonts w:hint="eastAsia" w:ascii="宋体" w:hAnsi="宋体" w:eastAsia="宋体" w:cs="宋体"/>
          <w:bCs/>
          <w:color w:val="auto"/>
          <w:sz w:val="48"/>
          <w:szCs w:val="48"/>
          <w:highlight w:val="none"/>
          <w:lang w:eastAsia="zh-CN"/>
        </w:rPr>
      </w:pPr>
    </w:p>
    <w:p w14:paraId="76DCB2EF">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right="0" w:firstLine="436" w:firstLineChars="91"/>
        <w:jc w:val="left"/>
        <w:textAlignment w:val="auto"/>
        <w:rPr>
          <w:rFonts w:hint="eastAsia" w:ascii="宋体" w:hAnsi="宋体" w:eastAsia="宋体" w:cs="宋体"/>
          <w:bCs/>
          <w:color w:val="auto"/>
          <w:sz w:val="48"/>
          <w:szCs w:val="48"/>
          <w:highlight w:val="none"/>
          <w:lang w:eastAsia="zh-CN"/>
        </w:rPr>
      </w:pPr>
    </w:p>
    <w:p w14:paraId="290B15AC">
      <w:pPr>
        <w:keepNext w:val="0"/>
        <w:keepLines w:val="0"/>
        <w:pageBreakBefore w:val="0"/>
        <w:widowControl w:val="0"/>
        <w:kinsoku/>
        <w:wordWrap/>
        <w:overflowPunct/>
        <w:topLinePunct w:val="0"/>
        <w:autoSpaceDE/>
        <w:autoSpaceDN/>
        <w:bidi w:val="0"/>
        <w:snapToGrid w:val="0"/>
        <w:spacing w:line="360" w:lineRule="auto"/>
        <w:jc w:val="both"/>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注：本合同为年度合同，甲乙双方按年度一年一签，上一年度合同期满后，双方均无异议，经监管部门审批后，协商续签下一年度合同，续签时合同其他内容不予改变。若乙方上一年度的服务不能满足甲方要求，甲方可拒绝同乙方续签。</w:t>
      </w:r>
    </w:p>
    <w:p w14:paraId="5A9BB870">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right="0" w:firstLine="436" w:firstLineChars="91"/>
        <w:jc w:val="left"/>
        <w:textAlignment w:val="auto"/>
        <w:rPr>
          <w:rFonts w:hint="eastAsia" w:ascii="宋体" w:hAnsi="宋体" w:eastAsia="宋体" w:cs="宋体"/>
          <w:b/>
          <w:bCs/>
          <w:snapToGrid w:val="0"/>
          <w:color w:val="auto"/>
          <w:spacing w:val="0"/>
          <w:sz w:val="21"/>
          <w:szCs w:val="21"/>
          <w:highlight w:val="none"/>
        </w:rPr>
      </w:pPr>
      <w:r>
        <w:rPr>
          <w:rFonts w:hint="eastAsia" w:ascii="宋体" w:hAnsi="宋体" w:eastAsia="宋体" w:cs="宋体"/>
          <w:bCs/>
          <w:color w:val="auto"/>
          <w:sz w:val="48"/>
          <w:szCs w:val="48"/>
          <w:highlight w:val="none"/>
          <w:lang w:eastAsia="zh-CN"/>
        </w:rPr>
        <w:br w:type="page"/>
      </w:r>
      <w:r>
        <w:rPr>
          <w:rFonts w:hint="eastAsia" w:ascii="宋体" w:hAnsi="宋体" w:eastAsia="宋体" w:cs="宋体"/>
          <w:b/>
          <w:bCs/>
          <w:snapToGrid w:val="0"/>
          <w:color w:val="auto"/>
          <w:spacing w:val="0"/>
          <w:sz w:val="21"/>
          <w:szCs w:val="21"/>
          <w:highlight w:val="none"/>
        </w:rPr>
        <w:t>甲方：</w:t>
      </w:r>
      <w:r>
        <w:rPr>
          <w:rFonts w:hint="eastAsia" w:ascii="宋体" w:hAnsi="宋体" w:eastAsia="宋体" w:cs="宋体"/>
          <w:b/>
          <w:bCs/>
          <w:snapToGrid w:val="0"/>
          <w:color w:val="auto"/>
          <w:spacing w:val="0"/>
          <w:sz w:val="21"/>
          <w:szCs w:val="21"/>
          <w:highlight w:val="none"/>
          <w:u w:val="single"/>
        </w:rPr>
        <w:t>西安市未央区城市管理和综合执法局</w:t>
      </w:r>
    </w:p>
    <w:p w14:paraId="1D2B0348">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right="0" w:firstLine="422" w:firstLineChars="200"/>
        <w:jc w:val="left"/>
        <w:textAlignment w:val="auto"/>
        <w:rPr>
          <w:rFonts w:hint="default" w:ascii="宋体" w:hAnsi="宋体" w:eastAsia="宋体" w:cs="宋体"/>
          <w:snapToGrid w:val="0"/>
          <w:color w:val="auto"/>
          <w:spacing w:val="0"/>
          <w:sz w:val="21"/>
          <w:szCs w:val="21"/>
          <w:highlight w:val="none"/>
          <w:lang w:val="en-US" w:eastAsia="zh-CN"/>
        </w:rPr>
      </w:pPr>
      <w:r>
        <w:rPr>
          <w:rFonts w:hint="eastAsia" w:ascii="宋体" w:hAnsi="宋体" w:eastAsia="宋体" w:cs="宋体"/>
          <w:b/>
          <w:bCs/>
          <w:snapToGrid w:val="0"/>
          <w:color w:val="auto"/>
          <w:spacing w:val="0"/>
          <w:sz w:val="21"/>
          <w:szCs w:val="21"/>
          <w:highlight w:val="none"/>
        </w:rPr>
        <w:t>乙方：</w:t>
      </w:r>
      <w:r>
        <w:rPr>
          <w:rFonts w:hint="eastAsia" w:ascii="宋体" w:hAnsi="宋体" w:eastAsia="宋体" w:cs="宋体"/>
          <w:b/>
          <w:bCs/>
          <w:snapToGrid w:val="0"/>
          <w:color w:val="auto"/>
          <w:spacing w:val="0"/>
          <w:sz w:val="21"/>
          <w:szCs w:val="21"/>
          <w:highlight w:val="none"/>
          <w:u w:val="single"/>
          <w:lang w:val="en-US" w:eastAsia="zh-CN"/>
        </w:rPr>
        <w:t xml:space="preserve">                                 </w:t>
      </w:r>
    </w:p>
    <w:p w14:paraId="2317DF83">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right="0" w:firstLine="420" w:firstLineChars="200"/>
        <w:jc w:val="left"/>
        <w:textAlignment w:val="auto"/>
        <w:rPr>
          <w:rFonts w:hint="eastAsia" w:ascii="宋体" w:hAnsi="宋体" w:eastAsia="宋体" w:cs="宋体"/>
          <w:snapToGrid w:val="0"/>
          <w:color w:val="auto"/>
          <w:spacing w:val="0"/>
          <w:sz w:val="21"/>
          <w:szCs w:val="21"/>
          <w:highlight w:val="none"/>
        </w:rPr>
      </w:pPr>
      <w:r>
        <w:rPr>
          <w:rFonts w:hint="eastAsia" w:ascii="宋体" w:hAnsi="宋体" w:eastAsia="宋体" w:cs="宋体"/>
          <w:snapToGrid w:val="0"/>
          <w:color w:val="auto"/>
          <w:spacing w:val="0"/>
          <w:sz w:val="21"/>
          <w:szCs w:val="21"/>
          <w:highlight w:val="none"/>
        </w:rPr>
        <w:t>根据《中华人民共和国政府采购法》及实施条例、《中华人民共和国民法典》和</w:t>
      </w:r>
      <w:r>
        <w:rPr>
          <w:rFonts w:hint="eastAsia" w:ascii="宋体" w:hAnsi="宋体" w:eastAsia="宋体" w:cs="宋体"/>
          <w:snapToGrid w:val="0"/>
          <w:color w:val="auto"/>
          <w:spacing w:val="0"/>
          <w:sz w:val="21"/>
          <w:szCs w:val="21"/>
          <w:highlight w:val="none"/>
          <w:u w:val="single" w:color="auto"/>
        </w:rPr>
        <w:t xml:space="preserve"> </w:t>
      </w:r>
      <w:r>
        <w:rPr>
          <w:rFonts w:hint="eastAsia" w:cs="宋体"/>
          <w:b/>
          <w:bCs/>
          <w:snapToGrid w:val="0"/>
          <w:color w:val="auto"/>
          <w:spacing w:val="0"/>
          <w:sz w:val="21"/>
          <w:szCs w:val="21"/>
          <w:highlight w:val="none"/>
          <w:u w:val="single" w:color="auto"/>
          <w:lang w:eastAsia="zh-CN"/>
        </w:rPr>
        <w:t>数字化城市管理监督指挥系统PDA城管通终端租赁及系统服务项目</w:t>
      </w:r>
      <w:r>
        <w:rPr>
          <w:rFonts w:hint="eastAsia" w:ascii="宋体" w:hAnsi="宋体" w:eastAsia="宋体" w:cs="宋体"/>
          <w:snapToGrid w:val="0"/>
          <w:color w:val="auto"/>
          <w:spacing w:val="0"/>
          <w:sz w:val="21"/>
          <w:szCs w:val="21"/>
          <w:highlight w:val="none"/>
        </w:rPr>
        <w:t>的竞争性磋商文件、竞争性磋商响应文件等有关规定，为确保甲方采购项目的顺利实施，甲、乙双方在平等自愿原则下签订本合同，并共同遵守如下条款：</w:t>
      </w:r>
    </w:p>
    <w:p w14:paraId="2D275012">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right="0" w:firstLine="422" w:firstLineChars="200"/>
        <w:jc w:val="left"/>
        <w:textAlignment w:val="auto"/>
        <w:rPr>
          <w:rFonts w:hint="eastAsia" w:ascii="宋体" w:hAnsi="宋体" w:eastAsia="宋体" w:cs="宋体"/>
          <w:snapToGrid w:val="0"/>
          <w:color w:val="auto"/>
          <w:spacing w:val="0"/>
          <w:sz w:val="21"/>
          <w:szCs w:val="21"/>
          <w:highlight w:val="none"/>
        </w:rPr>
      </w:pPr>
      <w:r>
        <w:rPr>
          <w:rFonts w:hint="eastAsia" w:ascii="宋体" w:hAnsi="宋体" w:eastAsia="宋体" w:cs="宋体"/>
          <w:b/>
          <w:bCs/>
          <w:snapToGrid w:val="0"/>
          <w:color w:val="auto"/>
          <w:spacing w:val="0"/>
          <w:sz w:val="21"/>
          <w:szCs w:val="21"/>
          <w:highlight w:val="none"/>
        </w:rPr>
        <w:t>一、服务内容及要求</w:t>
      </w:r>
    </w:p>
    <w:p w14:paraId="78E9E32F">
      <w:pPr>
        <w:keepNext w:val="0"/>
        <w:keepLines w:val="0"/>
        <w:pageBreakBefore w:val="0"/>
        <w:kinsoku/>
        <w:wordWrap/>
        <w:overflowPunct/>
        <w:topLinePunct w:val="0"/>
        <w:bidi w:val="0"/>
        <w:snapToGrid w:val="0"/>
        <w:spacing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甲方委托乙方为甲方提供数字化城市管理监督指挥系统PDA城管通终端租赁及系统服务。</w:t>
      </w:r>
    </w:p>
    <w:p w14:paraId="111540A3">
      <w:pPr>
        <w:keepNext w:val="0"/>
        <w:keepLines w:val="0"/>
        <w:pageBreakBefore w:val="0"/>
        <w:kinsoku/>
        <w:wordWrap/>
        <w:overflowPunct/>
        <w:topLinePunct w:val="0"/>
        <w:bidi w:val="0"/>
        <w:snapToGrid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1、服务项目内容可概括为以下内容：</w:t>
      </w:r>
    </w:p>
    <w:p w14:paraId="578F45CD">
      <w:pPr>
        <w:keepNext w:val="0"/>
        <w:keepLines w:val="0"/>
        <w:pageBreakBefore w:val="0"/>
        <w:kinsoku/>
        <w:wordWrap/>
        <w:overflowPunct/>
        <w:topLinePunct w:val="0"/>
        <w:bidi w:val="0"/>
        <w:snapToGrid w:val="0"/>
        <w:spacing w:line="360" w:lineRule="auto"/>
        <w:ind w:firstLine="315" w:firstLineChars="15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（1）城管通通信服务</w:t>
      </w:r>
    </w:p>
    <w:p w14:paraId="31A54335">
      <w:pPr>
        <w:keepNext w:val="0"/>
        <w:keepLines w:val="0"/>
        <w:pageBreakBefore w:val="0"/>
        <w:kinsoku/>
        <w:wordWrap/>
        <w:overflowPunct/>
        <w:topLinePunct w:val="0"/>
        <w:bidi w:val="0"/>
        <w:snapToGrid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通话时长及流量要求：</w:t>
      </w:r>
    </w:p>
    <w:tbl>
      <w:tblPr>
        <w:tblStyle w:val="5"/>
        <w:tblW w:w="7949" w:type="dxa"/>
        <w:jc w:val="center"/>
        <w:tblLayout w:type="fixed"/>
        <w:tblCellMar>
          <w:top w:w="0" w:type="dxa"/>
          <w:left w:w="108" w:type="dxa"/>
          <w:bottom w:w="0" w:type="dxa"/>
          <w:right w:w="108" w:type="dxa"/>
        </w:tblCellMar>
      </w:tblPr>
      <w:tblGrid>
        <w:gridCol w:w="1045"/>
        <w:gridCol w:w="1225"/>
        <w:gridCol w:w="1153"/>
        <w:gridCol w:w="2229"/>
        <w:gridCol w:w="2297"/>
      </w:tblGrid>
      <w:tr w14:paraId="4228BB3A">
        <w:tblPrEx>
          <w:tblCellMar>
            <w:top w:w="0" w:type="dxa"/>
            <w:left w:w="108" w:type="dxa"/>
            <w:bottom w:w="0" w:type="dxa"/>
            <w:right w:w="108" w:type="dxa"/>
          </w:tblCellMar>
        </w:tblPrEx>
        <w:trPr>
          <w:trHeight w:val="400" w:hRule="atLeast"/>
          <w:jc w:val="center"/>
        </w:trPr>
        <w:tc>
          <w:tcPr>
            <w:tcW w:w="1045" w:type="dxa"/>
            <w:tcBorders>
              <w:top w:val="single" w:color="auto" w:sz="4" w:space="0"/>
              <w:left w:val="single" w:color="auto" w:sz="4" w:space="0"/>
              <w:bottom w:val="single" w:color="auto" w:sz="4" w:space="0"/>
              <w:right w:val="single" w:color="auto" w:sz="4" w:space="0"/>
            </w:tcBorders>
            <w:noWrap w:val="0"/>
            <w:vAlign w:val="center"/>
          </w:tcPr>
          <w:p w14:paraId="433701F8">
            <w:pPr>
              <w:keepNext w:val="0"/>
              <w:keepLines w:val="0"/>
              <w:pageBreakBefore w:val="0"/>
              <w:widowControl/>
              <w:kinsoku/>
              <w:wordWrap/>
              <w:overflowPunct/>
              <w:topLinePunct w:val="0"/>
              <w:bidi w:val="0"/>
              <w:snapToGrid w:val="0"/>
              <w:spacing w:line="360" w:lineRule="auto"/>
              <w:jc w:val="center"/>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数量（台）</w:t>
            </w:r>
          </w:p>
        </w:tc>
        <w:tc>
          <w:tcPr>
            <w:tcW w:w="1225" w:type="dxa"/>
            <w:tcBorders>
              <w:top w:val="single" w:color="auto" w:sz="4" w:space="0"/>
              <w:left w:val="nil"/>
              <w:bottom w:val="single" w:color="auto" w:sz="4" w:space="0"/>
              <w:right w:val="single" w:color="auto" w:sz="4" w:space="0"/>
            </w:tcBorders>
            <w:noWrap/>
            <w:vAlign w:val="center"/>
          </w:tcPr>
          <w:p w14:paraId="4042E965">
            <w:pPr>
              <w:keepNext w:val="0"/>
              <w:keepLines w:val="0"/>
              <w:pageBreakBefore w:val="0"/>
              <w:widowControl/>
              <w:kinsoku/>
              <w:wordWrap/>
              <w:overflowPunct/>
              <w:topLinePunct w:val="0"/>
              <w:bidi w:val="0"/>
              <w:snapToGrid w:val="0"/>
              <w:spacing w:line="360" w:lineRule="auto"/>
              <w:jc w:val="center"/>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通话时长（分钟）</w:t>
            </w:r>
          </w:p>
        </w:tc>
        <w:tc>
          <w:tcPr>
            <w:tcW w:w="1153" w:type="dxa"/>
            <w:tcBorders>
              <w:top w:val="single" w:color="auto" w:sz="4" w:space="0"/>
              <w:left w:val="nil"/>
              <w:bottom w:val="single" w:color="auto" w:sz="4" w:space="0"/>
              <w:right w:val="single" w:color="auto" w:sz="4" w:space="0"/>
            </w:tcBorders>
            <w:noWrap/>
            <w:vAlign w:val="center"/>
          </w:tcPr>
          <w:p w14:paraId="5163FE99">
            <w:pPr>
              <w:keepNext w:val="0"/>
              <w:keepLines w:val="0"/>
              <w:pageBreakBefore w:val="0"/>
              <w:widowControl/>
              <w:kinsoku/>
              <w:wordWrap/>
              <w:overflowPunct/>
              <w:topLinePunct w:val="0"/>
              <w:bidi w:val="0"/>
              <w:snapToGrid w:val="0"/>
              <w:spacing w:line="360" w:lineRule="auto"/>
              <w:jc w:val="center"/>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流量（G）</w:t>
            </w:r>
          </w:p>
        </w:tc>
        <w:tc>
          <w:tcPr>
            <w:tcW w:w="2229" w:type="dxa"/>
            <w:tcBorders>
              <w:top w:val="single" w:color="auto" w:sz="4" w:space="0"/>
              <w:left w:val="nil"/>
              <w:bottom w:val="single" w:color="auto" w:sz="4" w:space="0"/>
              <w:right w:val="single" w:color="auto" w:sz="4" w:space="0"/>
            </w:tcBorders>
            <w:noWrap/>
            <w:vAlign w:val="center"/>
          </w:tcPr>
          <w:p w14:paraId="33E2DB0A">
            <w:pPr>
              <w:keepNext w:val="0"/>
              <w:keepLines w:val="0"/>
              <w:pageBreakBefore w:val="0"/>
              <w:widowControl/>
              <w:kinsoku/>
              <w:wordWrap/>
              <w:overflowPunct/>
              <w:topLinePunct w:val="0"/>
              <w:bidi w:val="0"/>
              <w:snapToGrid w:val="0"/>
              <w:spacing w:line="360" w:lineRule="auto"/>
              <w:jc w:val="center"/>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语音（超出）</w:t>
            </w:r>
          </w:p>
        </w:tc>
        <w:tc>
          <w:tcPr>
            <w:tcW w:w="2297" w:type="dxa"/>
            <w:tcBorders>
              <w:top w:val="single" w:color="auto" w:sz="4" w:space="0"/>
              <w:left w:val="nil"/>
              <w:bottom w:val="single" w:color="auto" w:sz="4" w:space="0"/>
              <w:right w:val="single" w:color="auto" w:sz="4" w:space="0"/>
            </w:tcBorders>
            <w:noWrap/>
            <w:vAlign w:val="center"/>
          </w:tcPr>
          <w:p w14:paraId="510722BA">
            <w:pPr>
              <w:keepNext w:val="0"/>
              <w:keepLines w:val="0"/>
              <w:pageBreakBefore w:val="0"/>
              <w:widowControl/>
              <w:kinsoku/>
              <w:wordWrap/>
              <w:overflowPunct/>
              <w:topLinePunct w:val="0"/>
              <w:bidi w:val="0"/>
              <w:snapToGrid w:val="0"/>
              <w:spacing w:line="360" w:lineRule="auto"/>
              <w:jc w:val="center"/>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流量（超出）</w:t>
            </w:r>
          </w:p>
        </w:tc>
      </w:tr>
      <w:tr w14:paraId="35D9E4BD">
        <w:tblPrEx>
          <w:tblCellMar>
            <w:top w:w="0" w:type="dxa"/>
            <w:left w:w="108" w:type="dxa"/>
            <w:bottom w:w="0" w:type="dxa"/>
            <w:right w:w="108" w:type="dxa"/>
          </w:tblCellMar>
        </w:tblPrEx>
        <w:trPr>
          <w:trHeight w:val="400" w:hRule="atLeast"/>
          <w:jc w:val="center"/>
        </w:trPr>
        <w:tc>
          <w:tcPr>
            <w:tcW w:w="1045" w:type="dxa"/>
            <w:tcBorders>
              <w:top w:val="nil"/>
              <w:left w:val="single" w:color="auto" w:sz="4" w:space="0"/>
              <w:bottom w:val="single" w:color="auto" w:sz="4" w:space="0"/>
              <w:right w:val="single" w:color="auto" w:sz="4" w:space="0"/>
            </w:tcBorders>
            <w:noWrap w:val="0"/>
            <w:vAlign w:val="center"/>
          </w:tcPr>
          <w:p w14:paraId="4AE871B6">
            <w:pPr>
              <w:keepNext w:val="0"/>
              <w:keepLines w:val="0"/>
              <w:pageBreakBefore w:val="0"/>
              <w:widowControl/>
              <w:kinsoku/>
              <w:wordWrap/>
              <w:overflowPunct/>
              <w:topLinePunct w:val="0"/>
              <w:bidi w:val="0"/>
              <w:snapToGrid w:val="0"/>
              <w:spacing w:line="360" w:lineRule="auto"/>
              <w:jc w:val="center"/>
              <w:textAlignment w:val="auto"/>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lang w:val="en-US" w:eastAsia="zh-CN"/>
              </w:rPr>
              <w:t>57</w:t>
            </w:r>
          </w:p>
        </w:tc>
        <w:tc>
          <w:tcPr>
            <w:tcW w:w="1225" w:type="dxa"/>
            <w:tcBorders>
              <w:top w:val="nil"/>
              <w:left w:val="nil"/>
              <w:bottom w:val="single" w:color="auto" w:sz="4" w:space="0"/>
              <w:right w:val="single" w:color="auto" w:sz="4" w:space="0"/>
            </w:tcBorders>
            <w:noWrap/>
            <w:vAlign w:val="center"/>
          </w:tcPr>
          <w:p w14:paraId="02244125">
            <w:pPr>
              <w:keepNext w:val="0"/>
              <w:keepLines w:val="0"/>
              <w:pageBreakBefore w:val="0"/>
              <w:widowControl/>
              <w:kinsoku/>
              <w:wordWrap/>
              <w:overflowPunct/>
              <w:topLinePunct w:val="0"/>
              <w:bidi w:val="0"/>
              <w:snapToGrid w:val="0"/>
              <w:spacing w:line="360" w:lineRule="auto"/>
              <w:jc w:val="center"/>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≥1000</w:t>
            </w:r>
          </w:p>
        </w:tc>
        <w:tc>
          <w:tcPr>
            <w:tcW w:w="1153" w:type="dxa"/>
            <w:tcBorders>
              <w:top w:val="nil"/>
              <w:left w:val="nil"/>
              <w:bottom w:val="single" w:color="auto" w:sz="4" w:space="0"/>
              <w:right w:val="single" w:color="auto" w:sz="4" w:space="0"/>
            </w:tcBorders>
            <w:noWrap/>
            <w:vAlign w:val="center"/>
          </w:tcPr>
          <w:p w14:paraId="29BCCC9D">
            <w:pPr>
              <w:keepNext w:val="0"/>
              <w:keepLines w:val="0"/>
              <w:pageBreakBefore w:val="0"/>
              <w:widowControl/>
              <w:kinsoku/>
              <w:wordWrap/>
              <w:overflowPunct/>
              <w:topLinePunct w:val="0"/>
              <w:bidi w:val="0"/>
              <w:snapToGrid w:val="0"/>
              <w:spacing w:line="360" w:lineRule="auto"/>
              <w:jc w:val="center"/>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≥60</w:t>
            </w:r>
          </w:p>
        </w:tc>
        <w:tc>
          <w:tcPr>
            <w:tcW w:w="2229" w:type="dxa"/>
            <w:vMerge w:val="restart"/>
            <w:tcBorders>
              <w:top w:val="nil"/>
              <w:left w:val="single" w:color="auto" w:sz="4" w:space="0"/>
              <w:bottom w:val="single" w:color="auto" w:sz="4" w:space="0"/>
              <w:right w:val="single" w:color="auto" w:sz="4" w:space="0"/>
            </w:tcBorders>
            <w:noWrap w:val="0"/>
            <w:vAlign w:val="center"/>
          </w:tcPr>
          <w:p w14:paraId="5175FF40">
            <w:pPr>
              <w:keepNext w:val="0"/>
              <w:keepLines w:val="0"/>
              <w:pageBreakBefore w:val="0"/>
              <w:widowControl/>
              <w:kinsoku/>
              <w:wordWrap/>
              <w:overflowPunct/>
              <w:topLinePunct w:val="0"/>
              <w:bidi w:val="0"/>
              <w:snapToGrid w:val="0"/>
              <w:spacing w:line="360" w:lineRule="auto"/>
              <w:jc w:val="center"/>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sz w:val="21"/>
                <w:szCs w:val="21"/>
                <w:highlight w:val="none"/>
              </w:rPr>
              <w:t>语音超出部分≤0.15元/分钟</w:t>
            </w:r>
          </w:p>
        </w:tc>
        <w:tc>
          <w:tcPr>
            <w:tcW w:w="2297" w:type="dxa"/>
            <w:vMerge w:val="restart"/>
            <w:tcBorders>
              <w:top w:val="nil"/>
              <w:left w:val="single" w:color="auto" w:sz="4" w:space="0"/>
              <w:bottom w:val="single" w:color="auto" w:sz="4" w:space="0"/>
              <w:right w:val="single" w:color="auto" w:sz="4" w:space="0"/>
            </w:tcBorders>
            <w:noWrap w:val="0"/>
            <w:vAlign w:val="center"/>
          </w:tcPr>
          <w:p w14:paraId="71F5A05C">
            <w:pPr>
              <w:keepNext w:val="0"/>
              <w:keepLines w:val="0"/>
              <w:pageBreakBefore w:val="0"/>
              <w:widowControl/>
              <w:kinsoku/>
              <w:wordWrap/>
              <w:overflowPunct/>
              <w:topLinePunct w:val="0"/>
              <w:bidi w:val="0"/>
              <w:snapToGrid w:val="0"/>
              <w:spacing w:line="360" w:lineRule="auto"/>
              <w:jc w:val="center"/>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sz w:val="21"/>
                <w:szCs w:val="21"/>
                <w:highlight w:val="none"/>
              </w:rPr>
              <w:t>流量超出部分≤0.29元/MB</w:t>
            </w:r>
          </w:p>
        </w:tc>
      </w:tr>
      <w:tr w14:paraId="390CDDC7">
        <w:tblPrEx>
          <w:tblCellMar>
            <w:top w:w="0" w:type="dxa"/>
            <w:left w:w="108" w:type="dxa"/>
            <w:bottom w:w="0" w:type="dxa"/>
            <w:right w:w="108" w:type="dxa"/>
          </w:tblCellMar>
        </w:tblPrEx>
        <w:trPr>
          <w:trHeight w:val="400" w:hRule="atLeast"/>
          <w:jc w:val="center"/>
        </w:trPr>
        <w:tc>
          <w:tcPr>
            <w:tcW w:w="1045" w:type="dxa"/>
            <w:tcBorders>
              <w:top w:val="nil"/>
              <w:left w:val="single" w:color="auto" w:sz="4" w:space="0"/>
              <w:bottom w:val="single" w:color="auto" w:sz="4" w:space="0"/>
              <w:right w:val="single" w:color="auto" w:sz="4" w:space="0"/>
            </w:tcBorders>
            <w:noWrap w:val="0"/>
            <w:vAlign w:val="center"/>
          </w:tcPr>
          <w:p w14:paraId="79FAE971">
            <w:pPr>
              <w:keepNext w:val="0"/>
              <w:keepLines w:val="0"/>
              <w:pageBreakBefore w:val="0"/>
              <w:widowControl/>
              <w:kinsoku/>
              <w:wordWrap/>
              <w:overflowPunct/>
              <w:topLinePunct w:val="0"/>
              <w:bidi w:val="0"/>
              <w:snapToGrid w:val="0"/>
              <w:spacing w:line="360" w:lineRule="auto"/>
              <w:jc w:val="center"/>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lang w:val="en-US" w:eastAsia="zh-CN"/>
              </w:rPr>
              <w:t>386</w:t>
            </w:r>
          </w:p>
        </w:tc>
        <w:tc>
          <w:tcPr>
            <w:tcW w:w="1225" w:type="dxa"/>
            <w:tcBorders>
              <w:top w:val="nil"/>
              <w:left w:val="nil"/>
              <w:bottom w:val="single" w:color="auto" w:sz="4" w:space="0"/>
              <w:right w:val="single" w:color="auto" w:sz="4" w:space="0"/>
            </w:tcBorders>
            <w:noWrap/>
            <w:vAlign w:val="center"/>
          </w:tcPr>
          <w:p w14:paraId="1AC3DB92">
            <w:pPr>
              <w:keepNext w:val="0"/>
              <w:keepLines w:val="0"/>
              <w:pageBreakBefore w:val="0"/>
              <w:widowControl/>
              <w:kinsoku/>
              <w:wordWrap/>
              <w:overflowPunct/>
              <w:topLinePunct w:val="0"/>
              <w:bidi w:val="0"/>
              <w:snapToGrid w:val="0"/>
              <w:spacing w:line="360" w:lineRule="auto"/>
              <w:jc w:val="center"/>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≥500</w:t>
            </w:r>
          </w:p>
        </w:tc>
        <w:tc>
          <w:tcPr>
            <w:tcW w:w="1153" w:type="dxa"/>
            <w:tcBorders>
              <w:top w:val="nil"/>
              <w:left w:val="nil"/>
              <w:bottom w:val="single" w:color="auto" w:sz="4" w:space="0"/>
              <w:right w:val="single" w:color="auto" w:sz="4" w:space="0"/>
            </w:tcBorders>
            <w:noWrap/>
            <w:vAlign w:val="center"/>
          </w:tcPr>
          <w:p w14:paraId="18996FE5">
            <w:pPr>
              <w:keepNext w:val="0"/>
              <w:keepLines w:val="0"/>
              <w:pageBreakBefore w:val="0"/>
              <w:widowControl/>
              <w:kinsoku/>
              <w:wordWrap/>
              <w:overflowPunct/>
              <w:topLinePunct w:val="0"/>
              <w:bidi w:val="0"/>
              <w:snapToGrid w:val="0"/>
              <w:spacing w:line="360" w:lineRule="auto"/>
              <w:jc w:val="center"/>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≥30</w:t>
            </w:r>
          </w:p>
        </w:tc>
        <w:tc>
          <w:tcPr>
            <w:tcW w:w="2229" w:type="dxa"/>
            <w:vMerge w:val="continue"/>
            <w:tcBorders>
              <w:top w:val="nil"/>
              <w:left w:val="single" w:color="auto" w:sz="4" w:space="0"/>
              <w:bottom w:val="single" w:color="auto" w:sz="4" w:space="0"/>
              <w:right w:val="single" w:color="auto" w:sz="4" w:space="0"/>
            </w:tcBorders>
            <w:noWrap w:val="0"/>
            <w:vAlign w:val="center"/>
          </w:tcPr>
          <w:p w14:paraId="4380D275">
            <w:pPr>
              <w:keepNext w:val="0"/>
              <w:keepLines w:val="0"/>
              <w:pageBreakBefore w:val="0"/>
              <w:widowControl/>
              <w:kinsoku/>
              <w:wordWrap/>
              <w:overflowPunct/>
              <w:topLinePunct w:val="0"/>
              <w:bidi w:val="0"/>
              <w:snapToGrid w:val="0"/>
              <w:spacing w:line="360" w:lineRule="auto"/>
              <w:jc w:val="left"/>
              <w:textAlignment w:val="auto"/>
              <w:rPr>
                <w:rFonts w:hint="eastAsia" w:ascii="宋体" w:hAnsi="宋体" w:eastAsia="宋体" w:cs="宋体"/>
                <w:color w:val="auto"/>
                <w:kern w:val="0"/>
                <w:sz w:val="21"/>
                <w:szCs w:val="21"/>
                <w:highlight w:val="none"/>
              </w:rPr>
            </w:pPr>
          </w:p>
        </w:tc>
        <w:tc>
          <w:tcPr>
            <w:tcW w:w="2297" w:type="dxa"/>
            <w:vMerge w:val="continue"/>
            <w:tcBorders>
              <w:top w:val="nil"/>
              <w:left w:val="single" w:color="auto" w:sz="4" w:space="0"/>
              <w:bottom w:val="single" w:color="auto" w:sz="4" w:space="0"/>
              <w:right w:val="single" w:color="auto" w:sz="4" w:space="0"/>
            </w:tcBorders>
            <w:noWrap w:val="0"/>
            <w:vAlign w:val="center"/>
          </w:tcPr>
          <w:p w14:paraId="55348DAB">
            <w:pPr>
              <w:keepNext w:val="0"/>
              <w:keepLines w:val="0"/>
              <w:pageBreakBefore w:val="0"/>
              <w:widowControl/>
              <w:kinsoku/>
              <w:wordWrap/>
              <w:overflowPunct/>
              <w:topLinePunct w:val="0"/>
              <w:bidi w:val="0"/>
              <w:snapToGrid w:val="0"/>
              <w:spacing w:line="360" w:lineRule="auto"/>
              <w:jc w:val="left"/>
              <w:textAlignment w:val="auto"/>
              <w:rPr>
                <w:rFonts w:hint="eastAsia" w:ascii="宋体" w:hAnsi="宋体" w:eastAsia="宋体" w:cs="宋体"/>
                <w:color w:val="auto"/>
                <w:kern w:val="0"/>
                <w:sz w:val="21"/>
                <w:szCs w:val="21"/>
                <w:highlight w:val="none"/>
              </w:rPr>
            </w:pPr>
          </w:p>
        </w:tc>
      </w:tr>
    </w:tbl>
    <w:p w14:paraId="012C136D">
      <w:pPr>
        <w:keepNext w:val="0"/>
        <w:keepLines w:val="0"/>
        <w:pageBreakBefore w:val="0"/>
        <w:kinsoku/>
        <w:wordWrap/>
        <w:overflowPunct/>
        <w:topLinePunct w:val="0"/>
        <w:bidi w:val="0"/>
        <w:snapToGrid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1</w:t>
      </w:r>
      <w:r>
        <w:rPr>
          <w:rFonts w:hint="eastAsia" w:ascii="宋体" w:hAnsi="宋体" w:eastAsia="宋体" w:cs="宋体"/>
          <w:color w:val="auto"/>
          <w:sz w:val="21"/>
          <w:szCs w:val="21"/>
          <w:highlight w:val="none"/>
        </w:rPr>
        <w:t>.PDA城管通终端的使用需要保证网络安全性，系统安全，所以通过专用</w:t>
      </w:r>
      <w:r>
        <w:rPr>
          <w:rFonts w:hint="eastAsia" w:ascii="宋体" w:hAnsi="宋体" w:eastAsia="宋体" w:cs="宋体"/>
          <w:color w:val="auto"/>
          <w:sz w:val="21"/>
          <w:szCs w:val="21"/>
          <w:highlight w:val="none"/>
          <w:lang w:val="en-US" w:eastAsia="zh-CN"/>
        </w:rPr>
        <w:t>A</w:t>
      </w:r>
      <w:r>
        <w:rPr>
          <w:rFonts w:hint="eastAsia" w:ascii="宋体" w:hAnsi="宋体" w:eastAsia="宋体" w:cs="宋体"/>
          <w:color w:val="auto"/>
          <w:sz w:val="21"/>
          <w:szCs w:val="21"/>
          <w:highlight w:val="none"/>
        </w:rPr>
        <w:t>PN网络接入。</w:t>
      </w:r>
    </w:p>
    <w:p w14:paraId="4E374FE9">
      <w:pPr>
        <w:keepNext w:val="0"/>
        <w:keepLines w:val="0"/>
        <w:pageBreakBefore w:val="0"/>
        <w:kinsoku/>
        <w:wordWrap/>
        <w:overflowPunct/>
        <w:topLinePunct w:val="0"/>
        <w:bidi w:val="0"/>
        <w:snapToGrid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2</w:t>
      </w:r>
      <w:r>
        <w:rPr>
          <w:rFonts w:hint="eastAsia" w:ascii="宋体" w:hAnsi="宋体" w:eastAsia="宋体" w:cs="宋体"/>
          <w:color w:val="auto"/>
          <w:sz w:val="21"/>
          <w:szCs w:val="21"/>
          <w:highlight w:val="none"/>
        </w:rPr>
        <w:t>.目前使用的PDA城管通终端号码，且在辖区内对外公布，不便于手机号码批量性更换。</w:t>
      </w:r>
    </w:p>
    <w:p w14:paraId="291FECF8">
      <w:pPr>
        <w:keepNext w:val="0"/>
        <w:keepLines w:val="0"/>
        <w:pageBreakBefore w:val="0"/>
        <w:kinsoku/>
        <w:wordWrap/>
        <w:overflowPunct/>
        <w:topLinePunct w:val="0"/>
        <w:bidi w:val="0"/>
        <w:snapToGrid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（2）PDA城管通数量：</w:t>
      </w:r>
      <w:r>
        <w:rPr>
          <w:rFonts w:hint="eastAsia" w:ascii="宋体" w:hAnsi="宋体" w:eastAsia="宋体" w:cs="宋体"/>
          <w:color w:val="auto"/>
          <w:sz w:val="21"/>
          <w:szCs w:val="21"/>
          <w:highlight w:val="none"/>
          <w:lang w:val="en-US" w:eastAsia="zh-CN"/>
        </w:rPr>
        <w:t>443</w:t>
      </w:r>
      <w:r>
        <w:rPr>
          <w:rFonts w:hint="eastAsia" w:ascii="宋体" w:hAnsi="宋体" w:eastAsia="宋体" w:cs="宋体"/>
          <w:color w:val="auto"/>
          <w:sz w:val="21"/>
          <w:szCs w:val="21"/>
          <w:highlight w:val="none"/>
        </w:rPr>
        <w:t>部</w:t>
      </w:r>
    </w:p>
    <w:p w14:paraId="1FA2BE7C">
      <w:pPr>
        <w:keepNext w:val="0"/>
        <w:keepLines w:val="0"/>
        <w:pageBreakBefore w:val="0"/>
        <w:kinsoku/>
        <w:wordWrap/>
        <w:overflowPunct/>
        <w:topLinePunct w:val="0"/>
        <w:bidi w:val="0"/>
        <w:snapToGrid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2、建设及验收期限：</w:t>
      </w:r>
    </w:p>
    <w:p w14:paraId="4848AC77">
      <w:pPr>
        <w:keepNext w:val="0"/>
        <w:keepLines w:val="0"/>
        <w:pageBreakBefore w:val="0"/>
        <w:kinsoku/>
        <w:wordWrap/>
        <w:overflowPunct/>
        <w:topLinePunct w:val="0"/>
        <w:bidi w:val="0"/>
        <w:snapToGrid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（1）建设期限：乙方自合同签订之日起</w:t>
      </w:r>
      <w:r>
        <w:rPr>
          <w:rFonts w:hint="eastAsia" w:ascii="宋体" w:hAnsi="宋体" w:eastAsia="宋体" w:cs="宋体"/>
          <w:color w:val="auto"/>
          <w:sz w:val="21"/>
          <w:szCs w:val="21"/>
          <w:highlight w:val="none"/>
          <w:u w:val="single"/>
        </w:rPr>
        <w:t>30日</w:t>
      </w:r>
      <w:r>
        <w:rPr>
          <w:rFonts w:hint="eastAsia" w:ascii="宋体" w:hAnsi="宋体" w:eastAsia="宋体" w:cs="宋体"/>
          <w:color w:val="auto"/>
          <w:sz w:val="21"/>
          <w:szCs w:val="21"/>
          <w:highlight w:val="none"/>
        </w:rPr>
        <w:t>内完成提供本合同项下服务内容的全部建设工作。</w:t>
      </w:r>
    </w:p>
    <w:p w14:paraId="60469120">
      <w:pPr>
        <w:keepNext w:val="0"/>
        <w:keepLines w:val="0"/>
        <w:pageBreakBefore w:val="0"/>
        <w:kinsoku/>
        <w:wordWrap/>
        <w:overflowPunct/>
        <w:topLinePunct w:val="0"/>
        <w:bidi w:val="0"/>
        <w:snapToGrid w:val="0"/>
        <w:spacing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项目验收：乙方完成合同范围内全部建设阶段的工作内容后，向甲方提出书面验收申请，甲方应在乙方提交验收申请之日起五个工作日内组织验收，甲方逾期未组织验收的，视为验收合格。针对不影响业务上线和使用的问题，乙方承诺在约定期限内完成整改，但不影响整体验收。若影响正常使用的问题，乙方应在甲方提出后5日内整改完毕，整改完成后乙方重新申请甲方验收。验收合格后</w:t>
      </w:r>
      <w:r>
        <w:rPr>
          <w:rFonts w:hint="eastAsia" w:ascii="宋体" w:hAnsi="宋体" w:eastAsia="宋体" w:cs="宋体"/>
          <w:color w:val="auto"/>
          <w:kern w:val="0"/>
          <w:sz w:val="21"/>
          <w:szCs w:val="21"/>
          <w:highlight w:val="none"/>
        </w:rPr>
        <w:t>双方签署项目验收报告，验收报告一式两份，各方各执一份。验收报告为双方履行其义务的必要证据。</w:t>
      </w:r>
    </w:p>
    <w:p w14:paraId="53789125">
      <w:pPr>
        <w:keepNext w:val="0"/>
        <w:keepLines w:val="0"/>
        <w:pageBreakBefore w:val="0"/>
        <w:kinsoku/>
        <w:wordWrap/>
        <w:overflowPunct/>
        <w:topLinePunct w:val="0"/>
        <w:bidi w:val="0"/>
        <w:snapToGrid w:val="0"/>
        <w:spacing w:line="360" w:lineRule="auto"/>
        <w:ind w:firstLine="315" w:firstLineChars="150"/>
        <w:textAlignment w:val="auto"/>
        <w:rPr>
          <w:rFonts w:hint="eastAsia" w:ascii="宋体" w:hAnsi="宋体" w:eastAsia="宋体" w:cs="宋体"/>
          <w:bCs/>
          <w:color w:val="auto"/>
          <w:sz w:val="21"/>
          <w:szCs w:val="21"/>
          <w:highlight w:val="none"/>
        </w:rPr>
      </w:pPr>
      <w:r>
        <w:rPr>
          <w:rFonts w:hint="eastAsia" w:ascii="宋体" w:hAnsi="宋体" w:eastAsia="宋体" w:cs="宋体"/>
          <w:color w:val="auto"/>
          <w:sz w:val="21"/>
          <w:szCs w:val="21"/>
          <w:highlight w:val="none"/>
        </w:rPr>
        <w:t>3、维保服务：</w:t>
      </w:r>
    </w:p>
    <w:p w14:paraId="3F9A69C9">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right="0" w:firstLine="420" w:firstLineChars="200"/>
        <w:jc w:val="left"/>
        <w:textAlignment w:val="auto"/>
        <w:rPr>
          <w:rFonts w:hint="eastAsia" w:ascii="宋体" w:hAnsi="宋体" w:eastAsia="宋体" w:cs="宋体"/>
          <w:snapToGrid w:val="0"/>
          <w:color w:val="auto"/>
          <w:spacing w:val="0"/>
          <w:sz w:val="21"/>
          <w:szCs w:val="21"/>
          <w:highlight w:val="none"/>
        </w:rPr>
      </w:pPr>
      <w:r>
        <w:rPr>
          <w:rFonts w:hint="eastAsia" w:ascii="宋体" w:hAnsi="宋体" w:eastAsia="宋体" w:cs="宋体"/>
          <w:color w:val="auto"/>
          <w:sz w:val="21"/>
          <w:szCs w:val="21"/>
          <w:highlight w:val="none"/>
        </w:rPr>
        <w:t>合同期内乙方负责所建项目的整体维保，甲方不再另行支付维保费用。</w:t>
      </w:r>
    </w:p>
    <w:p w14:paraId="29497786">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right="0" w:firstLine="422" w:firstLineChars="200"/>
        <w:jc w:val="left"/>
        <w:textAlignment w:val="auto"/>
        <w:rPr>
          <w:rFonts w:hint="eastAsia" w:ascii="宋体" w:hAnsi="宋体" w:eastAsia="宋体" w:cs="宋体"/>
          <w:snapToGrid w:val="0"/>
          <w:color w:val="auto"/>
          <w:spacing w:val="0"/>
          <w:sz w:val="21"/>
          <w:szCs w:val="21"/>
          <w:highlight w:val="none"/>
        </w:rPr>
      </w:pPr>
      <w:r>
        <w:rPr>
          <w:rFonts w:hint="eastAsia" w:ascii="宋体" w:hAnsi="宋体" w:eastAsia="宋体" w:cs="宋体"/>
          <w:b/>
          <w:bCs/>
          <w:snapToGrid w:val="0"/>
          <w:color w:val="auto"/>
          <w:spacing w:val="0"/>
          <w:sz w:val="21"/>
          <w:szCs w:val="21"/>
          <w:highlight w:val="none"/>
        </w:rPr>
        <w:t>二、服务期限及方式</w:t>
      </w:r>
    </w:p>
    <w:p w14:paraId="77204C0A">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right="0" w:firstLine="420" w:firstLineChars="200"/>
        <w:jc w:val="left"/>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snapToGrid w:val="0"/>
          <w:color w:val="auto"/>
          <w:spacing w:val="0"/>
          <w:sz w:val="21"/>
          <w:szCs w:val="21"/>
          <w:highlight w:val="none"/>
        </w:rPr>
        <w:t>1、</w:t>
      </w:r>
      <w:r>
        <w:rPr>
          <w:rFonts w:hint="eastAsia" w:ascii="宋体" w:hAnsi="宋体" w:eastAsia="宋体" w:cs="宋体"/>
          <w:snapToGrid w:val="0"/>
          <w:color w:val="auto"/>
          <w:spacing w:val="0"/>
          <w:sz w:val="21"/>
          <w:szCs w:val="21"/>
          <w:highlight w:val="none"/>
          <w:lang w:val="en-US" w:eastAsia="zh-CN"/>
        </w:rPr>
        <w:t>本年度服务期：</w:t>
      </w:r>
      <w:r>
        <w:rPr>
          <w:rFonts w:hint="eastAsia" w:ascii="宋体" w:hAnsi="宋体" w:eastAsia="宋体" w:cs="宋体"/>
          <w:snapToGrid w:val="0"/>
          <w:color w:val="auto"/>
          <w:spacing w:val="0"/>
          <w:sz w:val="21"/>
          <w:szCs w:val="21"/>
          <w:highlight w:val="none"/>
          <w:u w:val="single" w:color="auto"/>
        </w:rPr>
        <w:t xml:space="preserve">   </w:t>
      </w:r>
      <w:r>
        <w:rPr>
          <w:rFonts w:hint="eastAsia" w:ascii="宋体" w:hAnsi="宋体" w:eastAsia="宋体" w:cs="宋体"/>
          <w:snapToGrid w:val="0"/>
          <w:color w:val="auto"/>
          <w:spacing w:val="0"/>
          <w:sz w:val="21"/>
          <w:szCs w:val="21"/>
          <w:highlight w:val="none"/>
        </w:rPr>
        <w:t xml:space="preserve"> 年</w:t>
      </w:r>
      <w:r>
        <w:rPr>
          <w:rFonts w:hint="eastAsia" w:ascii="宋体" w:hAnsi="宋体" w:eastAsia="宋体" w:cs="宋体"/>
          <w:snapToGrid w:val="0"/>
          <w:color w:val="auto"/>
          <w:spacing w:val="0"/>
          <w:sz w:val="21"/>
          <w:szCs w:val="21"/>
          <w:highlight w:val="none"/>
          <w:u w:val="single" w:color="auto"/>
        </w:rPr>
        <w:t xml:space="preserve">  </w:t>
      </w:r>
      <w:r>
        <w:rPr>
          <w:rFonts w:hint="eastAsia" w:ascii="宋体" w:hAnsi="宋体" w:eastAsia="宋体" w:cs="宋体"/>
          <w:snapToGrid w:val="0"/>
          <w:color w:val="auto"/>
          <w:spacing w:val="0"/>
          <w:sz w:val="21"/>
          <w:szCs w:val="21"/>
          <w:highlight w:val="none"/>
        </w:rPr>
        <w:t xml:space="preserve"> 月</w:t>
      </w:r>
      <w:r>
        <w:rPr>
          <w:rFonts w:hint="eastAsia" w:ascii="宋体" w:hAnsi="宋体" w:eastAsia="宋体" w:cs="宋体"/>
          <w:snapToGrid w:val="0"/>
          <w:color w:val="auto"/>
          <w:spacing w:val="0"/>
          <w:sz w:val="21"/>
          <w:szCs w:val="21"/>
          <w:highlight w:val="none"/>
          <w:u w:val="single" w:color="auto"/>
        </w:rPr>
        <w:t xml:space="preserve">  </w:t>
      </w:r>
      <w:r>
        <w:rPr>
          <w:rFonts w:hint="eastAsia" w:ascii="宋体" w:hAnsi="宋体" w:eastAsia="宋体" w:cs="宋体"/>
          <w:snapToGrid w:val="0"/>
          <w:color w:val="auto"/>
          <w:spacing w:val="0"/>
          <w:sz w:val="21"/>
          <w:szCs w:val="21"/>
          <w:highlight w:val="none"/>
        </w:rPr>
        <w:t xml:space="preserve"> 日至</w:t>
      </w:r>
      <w:r>
        <w:rPr>
          <w:rFonts w:hint="eastAsia" w:ascii="宋体" w:hAnsi="宋体" w:eastAsia="宋体" w:cs="宋体"/>
          <w:snapToGrid w:val="0"/>
          <w:color w:val="auto"/>
          <w:spacing w:val="0"/>
          <w:sz w:val="21"/>
          <w:szCs w:val="21"/>
          <w:highlight w:val="none"/>
          <w:u w:val="single" w:color="auto"/>
        </w:rPr>
        <w:t xml:space="preserve">    </w:t>
      </w:r>
      <w:r>
        <w:rPr>
          <w:rFonts w:hint="eastAsia" w:ascii="宋体" w:hAnsi="宋体" w:eastAsia="宋体" w:cs="宋体"/>
          <w:snapToGrid w:val="0"/>
          <w:color w:val="auto"/>
          <w:spacing w:val="0"/>
          <w:sz w:val="21"/>
          <w:szCs w:val="21"/>
          <w:highlight w:val="none"/>
        </w:rPr>
        <w:t xml:space="preserve"> 年</w:t>
      </w:r>
      <w:r>
        <w:rPr>
          <w:rFonts w:hint="eastAsia" w:ascii="宋体" w:hAnsi="宋体" w:eastAsia="宋体" w:cs="宋体"/>
          <w:snapToGrid w:val="0"/>
          <w:color w:val="auto"/>
          <w:spacing w:val="0"/>
          <w:sz w:val="21"/>
          <w:szCs w:val="21"/>
          <w:highlight w:val="none"/>
          <w:u w:val="single" w:color="auto"/>
        </w:rPr>
        <w:t xml:space="preserve">  </w:t>
      </w:r>
      <w:r>
        <w:rPr>
          <w:rFonts w:hint="eastAsia" w:ascii="宋体" w:hAnsi="宋体" w:eastAsia="宋体" w:cs="宋体"/>
          <w:snapToGrid w:val="0"/>
          <w:color w:val="auto"/>
          <w:spacing w:val="0"/>
          <w:sz w:val="21"/>
          <w:szCs w:val="21"/>
          <w:highlight w:val="none"/>
        </w:rPr>
        <w:t xml:space="preserve"> 月</w:t>
      </w:r>
      <w:r>
        <w:rPr>
          <w:rFonts w:hint="eastAsia" w:ascii="宋体" w:hAnsi="宋体" w:eastAsia="宋体" w:cs="宋体"/>
          <w:snapToGrid w:val="0"/>
          <w:color w:val="auto"/>
          <w:spacing w:val="0"/>
          <w:sz w:val="21"/>
          <w:szCs w:val="21"/>
          <w:highlight w:val="none"/>
          <w:u w:val="single" w:color="auto"/>
        </w:rPr>
        <w:t xml:space="preserve">  </w:t>
      </w:r>
      <w:r>
        <w:rPr>
          <w:rFonts w:hint="eastAsia" w:ascii="宋体" w:hAnsi="宋体" w:eastAsia="宋体" w:cs="宋体"/>
          <w:snapToGrid w:val="0"/>
          <w:color w:val="auto"/>
          <w:spacing w:val="0"/>
          <w:sz w:val="21"/>
          <w:szCs w:val="21"/>
          <w:highlight w:val="none"/>
        </w:rPr>
        <w:t xml:space="preserve"> 日。</w:t>
      </w:r>
      <w:r>
        <w:rPr>
          <w:rFonts w:hint="eastAsia" w:ascii="宋体" w:hAnsi="宋体" w:eastAsia="宋体" w:cs="宋体"/>
          <w:color w:val="auto"/>
          <w:sz w:val="21"/>
          <w:szCs w:val="21"/>
          <w:highlight w:val="none"/>
          <w:lang w:val="en-US" w:eastAsia="zh-CN"/>
        </w:rPr>
        <w:t>合同期满后，双方均无异议，经监管部门审批后，协商续签下一年度合同，续签时合同其他内容不予改变。</w:t>
      </w:r>
    </w:p>
    <w:p w14:paraId="775F597A">
      <w:pPr>
        <w:keepNext w:val="0"/>
        <w:keepLines w:val="0"/>
        <w:pageBreakBefore w:val="0"/>
        <w:kinsoku/>
        <w:wordWrap/>
        <w:overflowPunct/>
        <w:topLinePunct w:val="0"/>
        <w:bidi w:val="0"/>
        <w:snapToGrid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服务方式：现场服务、电话支持、远程支持，整体项目或部分工程验收合格后质量保证期为【壹】年。成立专门小组负责本项目的维护和服务支持工作。相关服务支持应保障每周7*24小时（含法定节假日）热线服务、全面性程序服务、硬件故障排除、远程诊断及重建服务等。服务中出现的问题应在2小时内响应，一般问题1个工作日内解决或答复，重大问题在3个工作日内解决或答复。</w:t>
      </w:r>
    </w:p>
    <w:p w14:paraId="2C35E9F3">
      <w:pPr>
        <w:keepNext w:val="0"/>
        <w:keepLines w:val="0"/>
        <w:pageBreakBefore w:val="0"/>
        <w:kinsoku/>
        <w:wordWrap/>
        <w:overflowPunct/>
        <w:topLinePunct w:val="0"/>
        <w:bidi w:val="0"/>
        <w:snapToGrid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3、质保范围：在质保期内，乙方对由于设备等缺陷造成的服务故障负责免费维护维修或更换。</w:t>
      </w:r>
    </w:p>
    <w:p w14:paraId="4DB491AC">
      <w:pPr>
        <w:keepNext w:val="0"/>
        <w:keepLines w:val="0"/>
        <w:pageBreakBefore w:val="0"/>
        <w:kinsoku/>
        <w:wordWrap/>
        <w:overflowPunct/>
        <w:topLinePunct w:val="0"/>
        <w:bidi w:val="0"/>
        <w:snapToGrid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4、服务范围：乙方需按照原号码业务到期日期完成号码清单业务。</w:t>
      </w:r>
    </w:p>
    <w:p w14:paraId="3A02D5C2">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right="0" w:firstLine="422" w:firstLineChars="200"/>
        <w:jc w:val="left"/>
        <w:textAlignment w:val="auto"/>
        <w:rPr>
          <w:rFonts w:hint="eastAsia" w:ascii="宋体" w:hAnsi="宋体" w:eastAsia="宋体" w:cs="宋体"/>
          <w:b/>
          <w:bCs/>
          <w:color w:val="auto"/>
          <w:kern w:val="0"/>
          <w:sz w:val="21"/>
          <w:szCs w:val="21"/>
          <w:highlight w:val="none"/>
          <w:lang w:val="en-US" w:eastAsia="zh-CN" w:bidi="ar"/>
        </w:rPr>
      </w:pPr>
      <w:r>
        <w:rPr>
          <w:rFonts w:hint="eastAsia" w:cs="宋体"/>
          <w:b/>
          <w:bCs/>
          <w:color w:val="auto"/>
          <w:kern w:val="0"/>
          <w:sz w:val="21"/>
          <w:szCs w:val="21"/>
          <w:highlight w:val="none"/>
          <w:lang w:val="en-US" w:eastAsia="zh-CN" w:bidi="ar"/>
        </w:rPr>
        <w:t>三</w:t>
      </w:r>
      <w:r>
        <w:rPr>
          <w:rFonts w:hint="eastAsia" w:ascii="宋体" w:hAnsi="宋体" w:eastAsia="宋体" w:cs="宋体"/>
          <w:b/>
          <w:bCs/>
          <w:color w:val="auto"/>
          <w:kern w:val="0"/>
          <w:sz w:val="21"/>
          <w:szCs w:val="21"/>
          <w:highlight w:val="none"/>
          <w:lang w:val="en-US" w:eastAsia="zh-CN" w:bidi="ar"/>
        </w:rPr>
        <w:t>、合同价款</w:t>
      </w:r>
    </w:p>
    <w:p w14:paraId="6576BC9C">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right="0" w:firstLine="420" w:firstLineChars="200"/>
        <w:jc w:val="left"/>
        <w:textAlignment w:val="auto"/>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val="en-US" w:eastAsia="zh-CN" w:bidi="ar"/>
        </w:rPr>
        <w:t>本合同总价为：人民币【      】元（大写：人民币【        整】）。</w:t>
      </w:r>
    </w:p>
    <w:p w14:paraId="5B4E1765">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right="0" w:firstLine="420" w:firstLineChars="200"/>
        <w:jc w:val="left"/>
        <w:textAlignment w:val="auto"/>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val="en-US" w:eastAsia="zh-CN" w:bidi="ar"/>
        </w:rPr>
        <w:t xml:space="preserve">上述合同总价为服务的含税价格（税率 </w:t>
      </w:r>
      <w:r>
        <w:rPr>
          <w:rFonts w:hint="eastAsia" w:cs="宋体"/>
          <w:color w:val="auto"/>
          <w:kern w:val="0"/>
          <w:sz w:val="21"/>
          <w:szCs w:val="21"/>
          <w:highlight w:val="none"/>
          <w:lang w:val="en-US" w:eastAsia="zh-CN" w:bidi="ar"/>
        </w:rPr>
        <w:t xml:space="preserve"> </w:t>
      </w:r>
      <w:r>
        <w:rPr>
          <w:rFonts w:hint="eastAsia" w:ascii="宋体" w:hAnsi="宋体" w:eastAsia="宋体" w:cs="宋体"/>
          <w:color w:val="auto"/>
          <w:kern w:val="0"/>
          <w:sz w:val="21"/>
          <w:szCs w:val="21"/>
          <w:highlight w:val="none"/>
          <w:lang w:val="en-US" w:eastAsia="zh-CN" w:bidi="ar"/>
        </w:rPr>
        <w:t xml:space="preserve"> %），为固定不变价。</w:t>
      </w:r>
    </w:p>
    <w:tbl>
      <w:tblPr>
        <w:tblStyle w:val="5"/>
        <w:tblW w:w="9094" w:type="dxa"/>
        <w:jc w:val="center"/>
        <w:tblLayout w:type="fixed"/>
        <w:tblCellMar>
          <w:top w:w="0" w:type="dxa"/>
          <w:left w:w="108" w:type="dxa"/>
          <w:bottom w:w="0" w:type="dxa"/>
          <w:right w:w="108" w:type="dxa"/>
        </w:tblCellMar>
      </w:tblPr>
      <w:tblGrid>
        <w:gridCol w:w="2689"/>
        <w:gridCol w:w="1275"/>
        <w:gridCol w:w="978"/>
        <w:gridCol w:w="1276"/>
        <w:gridCol w:w="1175"/>
        <w:gridCol w:w="1701"/>
      </w:tblGrid>
      <w:tr w14:paraId="64983904">
        <w:tblPrEx>
          <w:tblCellMar>
            <w:top w:w="0" w:type="dxa"/>
            <w:left w:w="108" w:type="dxa"/>
            <w:bottom w:w="0" w:type="dxa"/>
            <w:right w:w="108" w:type="dxa"/>
          </w:tblCellMar>
        </w:tblPrEx>
        <w:trPr>
          <w:trHeight w:val="600" w:hRule="atLeast"/>
          <w:jc w:val="center"/>
        </w:trPr>
        <w:tc>
          <w:tcPr>
            <w:tcW w:w="2689" w:type="dxa"/>
            <w:tcBorders>
              <w:top w:val="single" w:color="auto" w:sz="4" w:space="0"/>
              <w:left w:val="single" w:color="auto" w:sz="4" w:space="0"/>
              <w:bottom w:val="single" w:color="auto" w:sz="4" w:space="0"/>
              <w:right w:val="single" w:color="auto" w:sz="4" w:space="0"/>
            </w:tcBorders>
            <w:noWrap w:val="0"/>
            <w:vAlign w:val="center"/>
          </w:tcPr>
          <w:p w14:paraId="342BC906">
            <w:pPr>
              <w:keepNext w:val="0"/>
              <w:keepLines w:val="0"/>
              <w:pageBreakBefore w:val="0"/>
              <w:widowControl/>
              <w:kinsoku/>
              <w:wordWrap/>
              <w:overflowPunct/>
              <w:topLinePunct w:val="0"/>
              <w:bidi w:val="0"/>
              <w:snapToGrid w:val="0"/>
              <w:spacing w:line="360" w:lineRule="auto"/>
              <w:jc w:val="center"/>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服务内容</w:t>
            </w:r>
          </w:p>
        </w:tc>
        <w:tc>
          <w:tcPr>
            <w:tcW w:w="1275" w:type="dxa"/>
            <w:tcBorders>
              <w:top w:val="single" w:color="auto" w:sz="4" w:space="0"/>
              <w:left w:val="nil"/>
              <w:bottom w:val="single" w:color="auto" w:sz="4" w:space="0"/>
              <w:right w:val="single" w:color="auto" w:sz="4" w:space="0"/>
            </w:tcBorders>
            <w:noWrap w:val="0"/>
            <w:vAlign w:val="center"/>
          </w:tcPr>
          <w:p w14:paraId="1922E10E">
            <w:pPr>
              <w:keepNext w:val="0"/>
              <w:keepLines w:val="0"/>
              <w:pageBreakBefore w:val="0"/>
              <w:widowControl/>
              <w:kinsoku/>
              <w:wordWrap/>
              <w:overflowPunct/>
              <w:topLinePunct w:val="0"/>
              <w:bidi w:val="0"/>
              <w:snapToGrid w:val="0"/>
              <w:spacing w:line="360" w:lineRule="auto"/>
              <w:jc w:val="center"/>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不含税价格（元/套）</w:t>
            </w:r>
          </w:p>
        </w:tc>
        <w:tc>
          <w:tcPr>
            <w:tcW w:w="978" w:type="dxa"/>
            <w:tcBorders>
              <w:top w:val="single" w:color="auto" w:sz="4" w:space="0"/>
              <w:left w:val="nil"/>
              <w:bottom w:val="single" w:color="auto" w:sz="4" w:space="0"/>
              <w:right w:val="single" w:color="auto" w:sz="4" w:space="0"/>
            </w:tcBorders>
            <w:noWrap/>
            <w:vAlign w:val="center"/>
          </w:tcPr>
          <w:p w14:paraId="1C5C711C">
            <w:pPr>
              <w:keepNext w:val="0"/>
              <w:keepLines w:val="0"/>
              <w:pageBreakBefore w:val="0"/>
              <w:widowControl/>
              <w:kinsoku/>
              <w:wordWrap/>
              <w:overflowPunct/>
              <w:topLinePunct w:val="0"/>
              <w:bidi w:val="0"/>
              <w:snapToGrid w:val="0"/>
              <w:spacing w:line="360" w:lineRule="auto"/>
              <w:jc w:val="center"/>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数量（套）</w:t>
            </w:r>
          </w:p>
        </w:tc>
        <w:tc>
          <w:tcPr>
            <w:tcW w:w="1276" w:type="dxa"/>
            <w:tcBorders>
              <w:top w:val="single" w:color="auto" w:sz="4" w:space="0"/>
              <w:left w:val="nil"/>
              <w:bottom w:val="single" w:color="auto" w:sz="4" w:space="0"/>
              <w:right w:val="single" w:color="auto" w:sz="4" w:space="0"/>
            </w:tcBorders>
            <w:noWrap w:val="0"/>
            <w:vAlign w:val="center"/>
          </w:tcPr>
          <w:p w14:paraId="04D34A3A">
            <w:pPr>
              <w:keepNext w:val="0"/>
              <w:keepLines w:val="0"/>
              <w:pageBreakBefore w:val="0"/>
              <w:widowControl/>
              <w:kinsoku/>
              <w:wordWrap/>
              <w:overflowPunct/>
              <w:topLinePunct w:val="0"/>
              <w:bidi w:val="0"/>
              <w:snapToGrid w:val="0"/>
              <w:spacing w:line="360" w:lineRule="auto"/>
              <w:jc w:val="center"/>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增值税率或征收率</w:t>
            </w:r>
          </w:p>
        </w:tc>
        <w:tc>
          <w:tcPr>
            <w:tcW w:w="1175" w:type="dxa"/>
            <w:tcBorders>
              <w:top w:val="single" w:color="auto" w:sz="4" w:space="0"/>
              <w:left w:val="nil"/>
              <w:bottom w:val="single" w:color="auto" w:sz="4" w:space="0"/>
              <w:right w:val="single" w:color="auto" w:sz="4" w:space="0"/>
            </w:tcBorders>
            <w:noWrap w:val="0"/>
            <w:vAlign w:val="center"/>
          </w:tcPr>
          <w:p w14:paraId="43B6E05D">
            <w:pPr>
              <w:keepNext w:val="0"/>
              <w:keepLines w:val="0"/>
              <w:pageBreakBefore w:val="0"/>
              <w:widowControl/>
              <w:kinsoku/>
              <w:wordWrap/>
              <w:overflowPunct/>
              <w:topLinePunct w:val="0"/>
              <w:bidi w:val="0"/>
              <w:snapToGrid w:val="0"/>
              <w:spacing w:line="360" w:lineRule="auto"/>
              <w:jc w:val="center"/>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增值税税额（元）</w:t>
            </w:r>
          </w:p>
        </w:tc>
        <w:tc>
          <w:tcPr>
            <w:tcW w:w="1701" w:type="dxa"/>
            <w:tcBorders>
              <w:top w:val="single" w:color="auto" w:sz="4" w:space="0"/>
              <w:left w:val="nil"/>
              <w:bottom w:val="single" w:color="auto" w:sz="4" w:space="0"/>
              <w:right w:val="single" w:color="auto" w:sz="4" w:space="0"/>
            </w:tcBorders>
            <w:noWrap w:val="0"/>
            <w:vAlign w:val="center"/>
          </w:tcPr>
          <w:p w14:paraId="1266BE9C">
            <w:pPr>
              <w:keepNext w:val="0"/>
              <w:keepLines w:val="0"/>
              <w:pageBreakBefore w:val="0"/>
              <w:widowControl/>
              <w:kinsoku/>
              <w:wordWrap/>
              <w:overflowPunct/>
              <w:topLinePunct w:val="0"/>
              <w:bidi w:val="0"/>
              <w:snapToGrid w:val="0"/>
              <w:spacing w:line="360" w:lineRule="auto"/>
              <w:jc w:val="center"/>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含税价格小计（人民币元）</w:t>
            </w:r>
          </w:p>
        </w:tc>
      </w:tr>
      <w:tr w14:paraId="6EF8E484">
        <w:tblPrEx>
          <w:tblCellMar>
            <w:top w:w="0" w:type="dxa"/>
            <w:left w:w="108" w:type="dxa"/>
            <w:bottom w:w="0" w:type="dxa"/>
            <w:right w:w="108" w:type="dxa"/>
          </w:tblCellMar>
        </w:tblPrEx>
        <w:trPr>
          <w:trHeight w:val="920" w:hRule="atLeast"/>
          <w:jc w:val="center"/>
        </w:trPr>
        <w:tc>
          <w:tcPr>
            <w:tcW w:w="2689" w:type="dxa"/>
            <w:tcBorders>
              <w:top w:val="nil"/>
              <w:left w:val="single" w:color="auto" w:sz="4" w:space="0"/>
              <w:bottom w:val="single" w:color="auto" w:sz="4" w:space="0"/>
              <w:right w:val="single" w:color="auto" w:sz="4" w:space="0"/>
            </w:tcBorders>
            <w:noWrap w:val="0"/>
            <w:vAlign w:val="center"/>
          </w:tcPr>
          <w:p w14:paraId="517EEB16">
            <w:pPr>
              <w:keepNext w:val="0"/>
              <w:keepLines w:val="0"/>
              <w:pageBreakBefore w:val="0"/>
              <w:widowControl/>
              <w:kinsoku/>
              <w:wordWrap/>
              <w:overflowPunct/>
              <w:topLinePunct w:val="0"/>
              <w:bidi w:val="0"/>
              <w:snapToGrid w:val="0"/>
              <w:spacing w:line="360" w:lineRule="auto"/>
              <w:jc w:val="center"/>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数字化城市管理监督指挥系统-城管通通信服务及系统服务</w:t>
            </w:r>
          </w:p>
        </w:tc>
        <w:tc>
          <w:tcPr>
            <w:tcW w:w="1275" w:type="dxa"/>
            <w:tcBorders>
              <w:top w:val="nil"/>
              <w:left w:val="nil"/>
              <w:bottom w:val="single" w:color="auto" w:sz="4" w:space="0"/>
              <w:right w:val="single" w:color="auto" w:sz="4" w:space="0"/>
            </w:tcBorders>
            <w:noWrap w:val="0"/>
            <w:vAlign w:val="center"/>
          </w:tcPr>
          <w:p w14:paraId="5905CA10">
            <w:pPr>
              <w:keepNext w:val="0"/>
              <w:keepLines w:val="0"/>
              <w:pageBreakBefore w:val="0"/>
              <w:widowControl/>
              <w:kinsoku/>
              <w:wordWrap/>
              <w:overflowPunct/>
              <w:topLinePunct w:val="0"/>
              <w:bidi w:val="0"/>
              <w:snapToGrid w:val="0"/>
              <w:spacing w:line="360" w:lineRule="auto"/>
              <w:jc w:val="center"/>
              <w:textAlignment w:val="auto"/>
              <w:rPr>
                <w:rFonts w:hint="eastAsia" w:ascii="宋体" w:hAnsi="宋体" w:eastAsia="宋体" w:cs="宋体"/>
                <w:color w:val="auto"/>
                <w:kern w:val="0"/>
                <w:sz w:val="21"/>
                <w:szCs w:val="21"/>
                <w:highlight w:val="none"/>
                <w:lang w:eastAsia="zh-CN"/>
              </w:rPr>
            </w:pPr>
            <w:r>
              <w:rPr>
                <w:rFonts w:hint="eastAsia" w:ascii="宋体" w:hAnsi="宋体" w:eastAsia="宋体" w:cs="宋体"/>
                <w:color w:val="auto"/>
                <w:kern w:val="0"/>
                <w:sz w:val="21"/>
                <w:szCs w:val="21"/>
                <w:highlight w:val="none"/>
                <w:lang w:val="en-US" w:eastAsia="zh-CN"/>
              </w:rPr>
              <w:t xml:space="preserve"> </w:t>
            </w:r>
          </w:p>
        </w:tc>
        <w:tc>
          <w:tcPr>
            <w:tcW w:w="978" w:type="dxa"/>
            <w:tcBorders>
              <w:top w:val="nil"/>
              <w:left w:val="nil"/>
              <w:bottom w:val="single" w:color="auto" w:sz="4" w:space="0"/>
              <w:right w:val="single" w:color="auto" w:sz="4" w:space="0"/>
            </w:tcBorders>
            <w:noWrap w:val="0"/>
            <w:vAlign w:val="center"/>
          </w:tcPr>
          <w:p w14:paraId="12F1E1AA">
            <w:pPr>
              <w:keepNext w:val="0"/>
              <w:keepLines w:val="0"/>
              <w:pageBreakBefore w:val="0"/>
              <w:widowControl/>
              <w:kinsoku/>
              <w:wordWrap/>
              <w:overflowPunct/>
              <w:topLinePunct w:val="0"/>
              <w:bidi w:val="0"/>
              <w:snapToGrid w:val="0"/>
              <w:spacing w:line="360" w:lineRule="auto"/>
              <w:jc w:val="center"/>
              <w:textAlignment w:val="auto"/>
              <w:rPr>
                <w:rFonts w:hint="eastAsia" w:ascii="宋体" w:hAnsi="宋体" w:eastAsia="宋体" w:cs="宋体"/>
                <w:color w:val="auto"/>
                <w:kern w:val="0"/>
                <w:sz w:val="21"/>
                <w:szCs w:val="21"/>
                <w:highlight w:val="none"/>
                <w:lang w:eastAsia="zh-CN"/>
              </w:rPr>
            </w:pPr>
            <w:r>
              <w:rPr>
                <w:rFonts w:hint="eastAsia" w:ascii="宋体" w:hAnsi="宋体" w:eastAsia="宋体" w:cs="宋体"/>
                <w:color w:val="auto"/>
                <w:kern w:val="0"/>
                <w:sz w:val="21"/>
                <w:szCs w:val="21"/>
                <w:highlight w:val="none"/>
                <w:lang w:val="en-US" w:eastAsia="zh-CN"/>
              </w:rPr>
              <w:t xml:space="preserve"> </w:t>
            </w:r>
          </w:p>
        </w:tc>
        <w:tc>
          <w:tcPr>
            <w:tcW w:w="1276" w:type="dxa"/>
            <w:tcBorders>
              <w:top w:val="nil"/>
              <w:left w:val="nil"/>
              <w:bottom w:val="single" w:color="auto" w:sz="4" w:space="0"/>
              <w:right w:val="single" w:color="auto" w:sz="4" w:space="0"/>
            </w:tcBorders>
            <w:noWrap w:val="0"/>
            <w:vAlign w:val="center"/>
          </w:tcPr>
          <w:p w14:paraId="2089FAE7">
            <w:pPr>
              <w:keepNext w:val="0"/>
              <w:keepLines w:val="0"/>
              <w:pageBreakBefore w:val="0"/>
              <w:widowControl/>
              <w:kinsoku/>
              <w:wordWrap/>
              <w:overflowPunct/>
              <w:topLinePunct w:val="0"/>
              <w:bidi w:val="0"/>
              <w:snapToGrid w:val="0"/>
              <w:spacing w:line="360" w:lineRule="auto"/>
              <w:jc w:val="center"/>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lang w:val="en-US" w:eastAsia="zh-CN"/>
              </w:rPr>
              <w:t xml:space="preserve">  </w:t>
            </w:r>
            <w:r>
              <w:rPr>
                <w:rFonts w:hint="eastAsia" w:ascii="宋体" w:hAnsi="宋体" w:eastAsia="宋体" w:cs="宋体"/>
                <w:color w:val="auto"/>
                <w:kern w:val="0"/>
                <w:sz w:val="21"/>
                <w:szCs w:val="21"/>
                <w:highlight w:val="none"/>
              </w:rPr>
              <w:t>%</w:t>
            </w:r>
          </w:p>
        </w:tc>
        <w:tc>
          <w:tcPr>
            <w:tcW w:w="1175" w:type="dxa"/>
            <w:tcBorders>
              <w:top w:val="nil"/>
              <w:left w:val="nil"/>
              <w:bottom w:val="single" w:color="auto" w:sz="4" w:space="0"/>
              <w:right w:val="single" w:color="auto" w:sz="4" w:space="0"/>
            </w:tcBorders>
            <w:noWrap w:val="0"/>
            <w:vAlign w:val="center"/>
          </w:tcPr>
          <w:p w14:paraId="64FAD01F">
            <w:pPr>
              <w:keepNext w:val="0"/>
              <w:keepLines w:val="0"/>
              <w:pageBreakBefore w:val="0"/>
              <w:widowControl/>
              <w:kinsoku/>
              <w:wordWrap/>
              <w:overflowPunct/>
              <w:topLinePunct w:val="0"/>
              <w:bidi w:val="0"/>
              <w:snapToGrid w:val="0"/>
              <w:spacing w:line="360" w:lineRule="auto"/>
              <w:jc w:val="center"/>
              <w:textAlignment w:val="auto"/>
              <w:rPr>
                <w:rFonts w:hint="eastAsia" w:ascii="宋体" w:hAnsi="宋体" w:eastAsia="宋体" w:cs="宋体"/>
                <w:color w:val="auto"/>
                <w:kern w:val="0"/>
                <w:sz w:val="21"/>
                <w:szCs w:val="21"/>
                <w:highlight w:val="none"/>
                <w:lang w:eastAsia="zh-CN"/>
              </w:rPr>
            </w:pPr>
            <w:r>
              <w:rPr>
                <w:rFonts w:hint="eastAsia" w:ascii="宋体" w:hAnsi="宋体" w:eastAsia="宋体" w:cs="宋体"/>
                <w:color w:val="auto"/>
                <w:kern w:val="0"/>
                <w:sz w:val="21"/>
                <w:szCs w:val="21"/>
                <w:highlight w:val="none"/>
                <w:lang w:val="en-US" w:eastAsia="zh-CN"/>
              </w:rPr>
              <w:t xml:space="preserve"> </w:t>
            </w:r>
          </w:p>
        </w:tc>
        <w:tc>
          <w:tcPr>
            <w:tcW w:w="1701" w:type="dxa"/>
            <w:tcBorders>
              <w:top w:val="nil"/>
              <w:left w:val="nil"/>
              <w:bottom w:val="single" w:color="auto" w:sz="4" w:space="0"/>
              <w:right w:val="single" w:color="auto" w:sz="4" w:space="0"/>
            </w:tcBorders>
            <w:noWrap w:val="0"/>
            <w:vAlign w:val="center"/>
          </w:tcPr>
          <w:p w14:paraId="175A60C6">
            <w:pPr>
              <w:keepNext w:val="0"/>
              <w:keepLines w:val="0"/>
              <w:pageBreakBefore w:val="0"/>
              <w:widowControl/>
              <w:kinsoku/>
              <w:wordWrap/>
              <w:overflowPunct/>
              <w:topLinePunct w:val="0"/>
              <w:bidi w:val="0"/>
              <w:snapToGrid w:val="0"/>
              <w:spacing w:line="360" w:lineRule="auto"/>
              <w:jc w:val="center"/>
              <w:textAlignment w:val="auto"/>
              <w:rPr>
                <w:rFonts w:hint="eastAsia" w:ascii="宋体" w:hAnsi="宋体" w:eastAsia="宋体" w:cs="宋体"/>
                <w:color w:val="auto"/>
                <w:kern w:val="0"/>
                <w:sz w:val="21"/>
                <w:szCs w:val="21"/>
                <w:highlight w:val="none"/>
                <w:lang w:eastAsia="zh-CN"/>
              </w:rPr>
            </w:pPr>
            <w:r>
              <w:rPr>
                <w:rFonts w:hint="eastAsia" w:ascii="宋体" w:hAnsi="宋体" w:eastAsia="宋体" w:cs="宋体"/>
                <w:color w:val="auto"/>
                <w:kern w:val="0"/>
                <w:sz w:val="21"/>
                <w:szCs w:val="21"/>
                <w:highlight w:val="none"/>
                <w:lang w:val="en-US" w:eastAsia="zh-CN"/>
              </w:rPr>
              <w:t xml:space="preserve"> </w:t>
            </w:r>
          </w:p>
        </w:tc>
      </w:tr>
      <w:tr w14:paraId="71D15896">
        <w:tblPrEx>
          <w:tblCellMar>
            <w:top w:w="0" w:type="dxa"/>
            <w:left w:w="108" w:type="dxa"/>
            <w:bottom w:w="0" w:type="dxa"/>
            <w:right w:w="108" w:type="dxa"/>
          </w:tblCellMar>
        </w:tblPrEx>
        <w:trPr>
          <w:trHeight w:val="520" w:hRule="atLeast"/>
          <w:jc w:val="center"/>
        </w:trPr>
        <w:tc>
          <w:tcPr>
            <w:tcW w:w="4942" w:type="dxa"/>
            <w:gridSpan w:val="3"/>
            <w:tcBorders>
              <w:top w:val="single" w:color="auto" w:sz="4" w:space="0"/>
              <w:left w:val="single" w:color="auto" w:sz="4" w:space="0"/>
              <w:bottom w:val="single" w:color="auto" w:sz="4" w:space="0"/>
              <w:right w:val="nil"/>
            </w:tcBorders>
            <w:noWrap w:val="0"/>
            <w:vAlign w:val="center"/>
          </w:tcPr>
          <w:p w14:paraId="6FA0BD30">
            <w:pPr>
              <w:keepNext w:val="0"/>
              <w:keepLines w:val="0"/>
              <w:pageBreakBefore w:val="0"/>
              <w:widowControl/>
              <w:kinsoku/>
              <w:wordWrap/>
              <w:overflowPunct/>
              <w:topLinePunct w:val="0"/>
              <w:bidi w:val="0"/>
              <w:snapToGrid w:val="0"/>
              <w:spacing w:line="360" w:lineRule="auto"/>
              <w:jc w:val="center"/>
              <w:textAlignment w:val="auto"/>
              <w:rPr>
                <w:rFonts w:hint="eastAsia" w:ascii="宋体" w:hAnsi="宋体" w:eastAsia="宋体" w:cs="宋体"/>
                <w:color w:val="auto"/>
                <w:kern w:val="0"/>
                <w:sz w:val="21"/>
                <w:szCs w:val="21"/>
                <w:highlight w:val="none"/>
                <w:lang w:eastAsia="zh-CN"/>
              </w:rPr>
            </w:pPr>
            <w:r>
              <w:rPr>
                <w:rFonts w:hint="eastAsia" w:ascii="宋体" w:hAnsi="宋体" w:eastAsia="宋体" w:cs="宋体"/>
                <w:color w:val="auto"/>
                <w:kern w:val="0"/>
                <w:sz w:val="21"/>
                <w:szCs w:val="21"/>
                <w:highlight w:val="none"/>
              </w:rPr>
              <w:t>合同总价（人民币元）</w:t>
            </w:r>
            <w:r>
              <w:rPr>
                <w:rFonts w:hint="eastAsia" w:ascii="宋体" w:hAnsi="宋体" w:eastAsia="宋体" w:cs="宋体"/>
                <w:color w:val="auto"/>
                <w:kern w:val="0"/>
                <w:sz w:val="21"/>
                <w:szCs w:val="21"/>
                <w:highlight w:val="none"/>
                <w:lang w:val="en-US" w:eastAsia="zh-CN"/>
              </w:rPr>
              <w:t xml:space="preserve"> </w:t>
            </w:r>
          </w:p>
        </w:tc>
        <w:tc>
          <w:tcPr>
            <w:tcW w:w="4152" w:type="dxa"/>
            <w:gridSpan w:val="3"/>
            <w:tcBorders>
              <w:top w:val="single" w:color="auto" w:sz="4" w:space="0"/>
              <w:left w:val="single" w:color="auto" w:sz="4" w:space="0"/>
              <w:bottom w:val="single" w:color="auto" w:sz="4" w:space="0"/>
              <w:right w:val="single" w:color="auto" w:sz="4" w:space="0"/>
            </w:tcBorders>
            <w:noWrap w:val="0"/>
            <w:vAlign w:val="center"/>
          </w:tcPr>
          <w:p w14:paraId="72F3E410">
            <w:pPr>
              <w:keepNext w:val="0"/>
              <w:keepLines w:val="0"/>
              <w:pageBreakBefore w:val="0"/>
              <w:widowControl/>
              <w:kinsoku/>
              <w:wordWrap/>
              <w:overflowPunct/>
              <w:topLinePunct w:val="0"/>
              <w:bidi w:val="0"/>
              <w:snapToGrid w:val="0"/>
              <w:spacing w:line="360" w:lineRule="auto"/>
              <w:jc w:val="both"/>
              <w:textAlignment w:val="auto"/>
              <w:rPr>
                <w:rFonts w:hint="eastAsia" w:ascii="宋体" w:hAnsi="宋体" w:eastAsia="宋体" w:cs="宋体"/>
                <w:color w:val="auto"/>
                <w:kern w:val="0"/>
                <w:sz w:val="21"/>
                <w:szCs w:val="21"/>
                <w:highlight w:val="none"/>
                <w:lang w:eastAsia="zh-CN"/>
              </w:rPr>
            </w:pPr>
            <w:r>
              <w:rPr>
                <w:rFonts w:hint="eastAsia" w:ascii="宋体" w:hAnsi="宋体" w:eastAsia="宋体" w:cs="宋体"/>
                <w:color w:val="auto"/>
                <w:kern w:val="0"/>
                <w:sz w:val="21"/>
                <w:szCs w:val="21"/>
                <w:highlight w:val="none"/>
              </w:rPr>
              <w:t>大写：</w:t>
            </w:r>
            <w:r>
              <w:rPr>
                <w:rFonts w:hint="eastAsia" w:ascii="宋体" w:hAnsi="宋体" w:eastAsia="宋体" w:cs="宋体"/>
                <w:color w:val="auto"/>
                <w:kern w:val="0"/>
                <w:sz w:val="21"/>
                <w:szCs w:val="21"/>
                <w:highlight w:val="none"/>
                <w:lang w:val="en-US" w:eastAsia="zh-CN"/>
              </w:rPr>
              <w:t xml:space="preserve"> </w:t>
            </w:r>
          </w:p>
        </w:tc>
      </w:tr>
    </w:tbl>
    <w:p w14:paraId="344C61C2">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right="0" w:firstLine="420" w:firstLineChars="200"/>
        <w:jc w:val="left"/>
        <w:textAlignment w:val="auto"/>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val="en-US" w:eastAsia="zh-CN" w:bidi="ar"/>
        </w:rPr>
        <w:t>备注：本协议涉及的金额，不包含语音及流量的超出部分。</w:t>
      </w:r>
    </w:p>
    <w:p w14:paraId="42522A23">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right="0" w:firstLine="422" w:firstLineChars="200"/>
        <w:jc w:val="left"/>
        <w:textAlignment w:val="auto"/>
        <w:rPr>
          <w:rFonts w:hint="eastAsia" w:ascii="宋体" w:hAnsi="宋体" w:eastAsia="宋体" w:cs="宋体"/>
          <w:snapToGrid w:val="0"/>
          <w:color w:val="auto"/>
          <w:spacing w:val="0"/>
          <w:sz w:val="21"/>
          <w:szCs w:val="21"/>
          <w:highlight w:val="none"/>
        </w:rPr>
      </w:pPr>
      <w:r>
        <w:rPr>
          <w:rFonts w:hint="eastAsia" w:cs="宋体"/>
          <w:b/>
          <w:bCs/>
          <w:snapToGrid w:val="0"/>
          <w:color w:val="auto"/>
          <w:spacing w:val="0"/>
          <w:sz w:val="21"/>
          <w:szCs w:val="21"/>
          <w:highlight w:val="none"/>
          <w:lang w:val="en-US" w:eastAsia="zh-CN"/>
        </w:rPr>
        <w:t>四</w:t>
      </w:r>
      <w:r>
        <w:rPr>
          <w:rFonts w:hint="eastAsia" w:ascii="宋体" w:hAnsi="宋体" w:eastAsia="宋体" w:cs="宋体"/>
          <w:b/>
          <w:bCs/>
          <w:snapToGrid w:val="0"/>
          <w:color w:val="auto"/>
          <w:spacing w:val="0"/>
          <w:sz w:val="21"/>
          <w:szCs w:val="21"/>
          <w:highlight w:val="none"/>
        </w:rPr>
        <w:t>、款项结算</w:t>
      </w:r>
    </w:p>
    <w:p w14:paraId="1114064E">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right="0" w:firstLine="420" w:firstLineChars="200"/>
        <w:jc w:val="left"/>
        <w:textAlignment w:val="auto"/>
        <w:rPr>
          <w:rFonts w:hint="eastAsia" w:ascii="宋体" w:hAnsi="宋体" w:eastAsia="宋体" w:cs="宋体"/>
          <w:snapToGrid w:val="0"/>
          <w:color w:val="auto"/>
          <w:spacing w:val="0"/>
          <w:sz w:val="21"/>
          <w:szCs w:val="21"/>
          <w:highlight w:val="none"/>
        </w:rPr>
      </w:pPr>
      <w:r>
        <w:rPr>
          <w:rFonts w:hint="eastAsia" w:ascii="宋体" w:hAnsi="宋体" w:eastAsia="宋体" w:cs="宋体"/>
          <w:snapToGrid w:val="0"/>
          <w:color w:val="auto"/>
          <w:spacing w:val="0"/>
          <w:sz w:val="21"/>
          <w:szCs w:val="21"/>
          <w:highlight w:val="none"/>
        </w:rPr>
        <w:t>1、付款方式:</w:t>
      </w:r>
    </w:p>
    <w:p w14:paraId="35277B00">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right="0" w:firstLine="420" w:firstLineChars="200"/>
        <w:jc w:val="left"/>
        <w:textAlignment w:val="auto"/>
        <w:rPr>
          <w:rFonts w:hint="eastAsia" w:ascii="宋体" w:hAnsi="宋体" w:eastAsia="宋体" w:cs="宋体"/>
          <w:snapToGrid w:val="0"/>
          <w:color w:val="auto"/>
          <w:spacing w:val="0"/>
          <w:sz w:val="21"/>
          <w:szCs w:val="21"/>
          <w:highlight w:val="none"/>
        </w:rPr>
      </w:pPr>
      <w:r>
        <w:rPr>
          <w:rFonts w:hint="eastAsia" w:ascii="宋体" w:hAnsi="宋体" w:eastAsia="宋体" w:cs="宋体"/>
          <w:snapToGrid w:val="0"/>
          <w:color w:val="auto"/>
          <w:spacing w:val="0"/>
          <w:sz w:val="21"/>
          <w:szCs w:val="21"/>
          <w:highlight w:val="none"/>
        </w:rPr>
        <w:t>合同签订后经财政部门审批后一次性付清，甲方向乙方支付本期合同总价100%的价款，即人民币【       】元/年（大写：人民币【       】）</w:t>
      </w:r>
    </w:p>
    <w:p w14:paraId="43C63B35">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right="0" w:firstLine="420" w:firstLineChars="200"/>
        <w:jc w:val="left"/>
        <w:textAlignment w:val="auto"/>
        <w:rPr>
          <w:rFonts w:hint="eastAsia" w:ascii="宋体" w:hAnsi="宋体" w:eastAsia="宋体" w:cs="宋体"/>
          <w:snapToGrid w:val="0"/>
          <w:color w:val="auto"/>
          <w:spacing w:val="0"/>
          <w:sz w:val="21"/>
          <w:szCs w:val="21"/>
          <w:highlight w:val="none"/>
        </w:rPr>
      </w:pPr>
      <w:r>
        <w:rPr>
          <w:rFonts w:hint="eastAsia" w:ascii="宋体" w:hAnsi="宋体" w:eastAsia="宋体" w:cs="宋体"/>
          <w:snapToGrid w:val="0"/>
          <w:color w:val="auto"/>
          <w:spacing w:val="0"/>
          <w:sz w:val="21"/>
          <w:szCs w:val="21"/>
          <w:highlight w:val="none"/>
        </w:rPr>
        <w:t>2、合同期满后，双方均无异议，经监管部门审批后，协商续签下一年度合同，续签时合同其他内容不予改变。</w:t>
      </w:r>
    </w:p>
    <w:p w14:paraId="480959C7">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right="0" w:firstLine="420" w:firstLineChars="200"/>
        <w:jc w:val="left"/>
        <w:textAlignment w:val="auto"/>
        <w:rPr>
          <w:rFonts w:hint="eastAsia" w:ascii="宋体" w:hAnsi="宋体" w:eastAsia="宋体" w:cs="宋体"/>
          <w:snapToGrid w:val="0"/>
          <w:color w:val="auto"/>
          <w:spacing w:val="0"/>
          <w:sz w:val="21"/>
          <w:szCs w:val="21"/>
          <w:highlight w:val="none"/>
        </w:rPr>
      </w:pPr>
      <w:r>
        <w:rPr>
          <w:rFonts w:hint="eastAsia" w:ascii="宋体" w:hAnsi="宋体" w:eastAsia="宋体" w:cs="宋体"/>
          <w:snapToGrid w:val="0"/>
          <w:color w:val="auto"/>
          <w:spacing w:val="0"/>
          <w:sz w:val="21"/>
          <w:szCs w:val="21"/>
          <w:highlight w:val="none"/>
        </w:rPr>
        <w:t>3、合同总价为完成本项目所要求服务内容且验收合格的所有费用，总价包括但不限于人工费、终端租赁费、通讯服务费、税金、采购代理服务费等其他一切相关费用。</w:t>
      </w:r>
    </w:p>
    <w:p w14:paraId="53FA51B2">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right="0" w:firstLine="420" w:firstLineChars="200"/>
        <w:jc w:val="left"/>
        <w:textAlignment w:val="auto"/>
        <w:rPr>
          <w:rFonts w:hint="eastAsia" w:ascii="宋体" w:hAnsi="宋体" w:eastAsia="宋体" w:cs="宋体"/>
          <w:snapToGrid w:val="0"/>
          <w:color w:val="auto"/>
          <w:spacing w:val="0"/>
          <w:sz w:val="21"/>
          <w:szCs w:val="21"/>
          <w:highlight w:val="none"/>
        </w:rPr>
      </w:pPr>
      <w:r>
        <w:rPr>
          <w:rFonts w:hint="eastAsia" w:ascii="宋体" w:hAnsi="宋体" w:eastAsia="宋体" w:cs="宋体"/>
          <w:snapToGrid w:val="0"/>
          <w:color w:val="auto"/>
          <w:spacing w:val="0"/>
          <w:sz w:val="21"/>
          <w:szCs w:val="21"/>
          <w:highlight w:val="none"/>
        </w:rPr>
        <w:t>4、甲方付款前，乙方需提供正式等额发票。</w:t>
      </w:r>
    </w:p>
    <w:p w14:paraId="4262209D">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right="0" w:firstLine="420" w:firstLineChars="200"/>
        <w:jc w:val="left"/>
        <w:textAlignment w:val="auto"/>
        <w:rPr>
          <w:rFonts w:hint="eastAsia" w:ascii="宋体" w:hAnsi="宋体" w:eastAsia="宋体" w:cs="宋体"/>
          <w:snapToGrid w:val="0"/>
          <w:color w:val="auto"/>
          <w:spacing w:val="0"/>
          <w:sz w:val="21"/>
          <w:szCs w:val="21"/>
          <w:highlight w:val="none"/>
        </w:rPr>
      </w:pPr>
      <w:r>
        <w:rPr>
          <w:rFonts w:hint="eastAsia" w:ascii="宋体" w:hAnsi="宋体" w:eastAsia="宋体" w:cs="宋体"/>
          <w:snapToGrid w:val="0"/>
          <w:color w:val="auto"/>
          <w:spacing w:val="0"/>
          <w:sz w:val="21"/>
          <w:szCs w:val="21"/>
          <w:highlight w:val="none"/>
        </w:rPr>
        <w:t>5、合同项下所有款额应通过双方在本合同中所约定的银行账户通过银行转账方式支付。甲乙双方各自承担因执行合同所发生的相关银行费用。</w:t>
      </w:r>
    </w:p>
    <w:p w14:paraId="53580407">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right="0" w:firstLine="420" w:firstLineChars="200"/>
        <w:jc w:val="left"/>
        <w:textAlignment w:val="auto"/>
        <w:rPr>
          <w:rFonts w:hint="eastAsia" w:ascii="宋体" w:hAnsi="宋体" w:eastAsia="宋体" w:cs="宋体"/>
          <w:snapToGrid w:val="0"/>
          <w:color w:val="auto"/>
          <w:spacing w:val="0"/>
          <w:sz w:val="21"/>
          <w:szCs w:val="21"/>
          <w:highlight w:val="none"/>
        </w:rPr>
      </w:pPr>
      <w:r>
        <w:rPr>
          <w:rFonts w:hint="eastAsia" w:ascii="宋体" w:hAnsi="宋体" w:eastAsia="宋体" w:cs="宋体"/>
          <w:snapToGrid w:val="0"/>
          <w:color w:val="auto"/>
          <w:spacing w:val="0"/>
          <w:sz w:val="21"/>
          <w:szCs w:val="21"/>
          <w:highlight w:val="none"/>
        </w:rPr>
        <w:t>6、乙方收款账户：</w:t>
      </w:r>
    </w:p>
    <w:p w14:paraId="1788CB54">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right="0" w:firstLine="420" w:firstLineChars="200"/>
        <w:jc w:val="left"/>
        <w:textAlignment w:val="auto"/>
        <w:rPr>
          <w:rFonts w:hint="eastAsia" w:ascii="宋体" w:hAnsi="宋体" w:eastAsia="宋体" w:cs="宋体"/>
          <w:snapToGrid w:val="0"/>
          <w:color w:val="auto"/>
          <w:spacing w:val="0"/>
          <w:sz w:val="21"/>
          <w:szCs w:val="21"/>
          <w:highlight w:val="none"/>
        </w:rPr>
      </w:pPr>
      <w:r>
        <w:rPr>
          <w:rFonts w:hint="eastAsia" w:ascii="宋体" w:hAnsi="宋体" w:eastAsia="宋体" w:cs="宋体"/>
          <w:snapToGrid w:val="0"/>
          <w:color w:val="auto"/>
          <w:spacing w:val="0"/>
          <w:sz w:val="21"/>
          <w:szCs w:val="21"/>
          <w:highlight w:val="none"/>
        </w:rPr>
        <w:t>乙方名称【      】</w:t>
      </w:r>
    </w:p>
    <w:p w14:paraId="01AC85F8">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right="0" w:firstLine="420" w:firstLineChars="200"/>
        <w:jc w:val="left"/>
        <w:textAlignment w:val="auto"/>
        <w:rPr>
          <w:rFonts w:hint="eastAsia" w:ascii="宋体" w:hAnsi="宋体" w:eastAsia="宋体" w:cs="宋体"/>
          <w:snapToGrid w:val="0"/>
          <w:color w:val="auto"/>
          <w:spacing w:val="0"/>
          <w:sz w:val="21"/>
          <w:szCs w:val="21"/>
          <w:highlight w:val="none"/>
        </w:rPr>
      </w:pPr>
      <w:r>
        <w:rPr>
          <w:rFonts w:hint="eastAsia" w:ascii="宋体" w:hAnsi="宋体" w:eastAsia="宋体" w:cs="宋体"/>
          <w:snapToGrid w:val="0"/>
          <w:color w:val="auto"/>
          <w:spacing w:val="0"/>
          <w:sz w:val="21"/>
          <w:szCs w:val="21"/>
          <w:highlight w:val="none"/>
        </w:rPr>
        <w:t>国税纳税人识别号:【      】</w:t>
      </w:r>
    </w:p>
    <w:p w14:paraId="35A9291E">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right="0" w:firstLine="420" w:firstLineChars="200"/>
        <w:jc w:val="left"/>
        <w:textAlignment w:val="auto"/>
        <w:rPr>
          <w:rFonts w:hint="eastAsia" w:ascii="宋体" w:hAnsi="宋体" w:eastAsia="宋体" w:cs="宋体"/>
          <w:snapToGrid w:val="0"/>
          <w:color w:val="auto"/>
          <w:spacing w:val="0"/>
          <w:sz w:val="21"/>
          <w:szCs w:val="21"/>
          <w:highlight w:val="none"/>
        </w:rPr>
      </w:pPr>
      <w:r>
        <w:rPr>
          <w:rFonts w:hint="eastAsia" w:ascii="宋体" w:hAnsi="宋体" w:eastAsia="宋体" w:cs="宋体"/>
          <w:snapToGrid w:val="0"/>
          <w:color w:val="auto"/>
          <w:spacing w:val="0"/>
          <w:sz w:val="21"/>
          <w:szCs w:val="21"/>
          <w:highlight w:val="none"/>
        </w:rPr>
        <w:t>户名：【     】</w:t>
      </w:r>
    </w:p>
    <w:p w14:paraId="61062EA6">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right="0" w:firstLine="420" w:firstLineChars="200"/>
        <w:jc w:val="left"/>
        <w:textAlignment w:val="auto"/>
        <w:rPr>
          <w:rFonts w:hint="eastAsia" w:ascii="宋体" w:hAnsi="宋体" w:eastAsia="宋体" w:cs="宋体"/>
          <w:snapToGrid w:val="0"/>
          <w:color w:val="auto"/>
          <w:spacing w:val="0"/>
          <w:sz w:val="21"/>
          <w:szCs w:val="21"/>
          <w:highlight w:val="none"/>
        </w:rPr>
      </w:pPr>
      <w:r>
        <w:rPr>
          <w:rFonts w:hint="eastAsia" w:ascii="宋体" w:hAnsi="宋体" w:eastAsia="宋体" w:cs="宋体"/>
          <w:snapToGrid w:val="0"/>
          <w:color w:val="auto"/>
          <w:spacing w:val="0"/>
          <w:sz w:val="21"/>
          <w:szCs w:val="21"/>
          <w:highlight w:val="none"/>
        </w:rPr>
        <w:t>开户行：【      】</w:t>
      </w:r>
    </w:p>
    <w:p w14:paraId="2A4CAD96">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right="0" w:firstLine="420" w:firstLineChars="200"/>
        <w:jc w:val="left"/>
        <w:textAlignment w:val="auto"/>
        <w:rPr>
          <w:rFonts w:hint="eastAsia" w:ascii="宋体" w:hAnsi="宋体" w:eastAsia="宋体" w:cs="宋体"/>
          <w:snapToGrid w:val="0"/>
          <w:color w:val="auto"/>
          <w:spacing w:val="0"/>
          <w:sz w:val="21"/>
          <w:szCs w:val="21"/>
          <w:highlight w:val="none"/>
        </w:rPr>
      </w:pPr>
      <w:r>
        <w:rPr>
          <w:rFonts w:hint="eastAsia" w:ascii="宋体" w:hAnsi="宋体" w:eastAsia="宋体" w:cs="宋体"/>
          <w:snapToGrid w:val="0"/>
          <w:color w:val="auto"/>
          <w:spacing w:val="0"/>
          <w:sz w:val="21"/>
          <w:szCs w:val="21"/>
          <w:highlight w:val="none"/>
        </w:rPr>
        <w:t>帐户：【      】</w:t>
      </w:r>
    </w:p>
    <w:p w14:paraId="3BB22746">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right="0" w:firstLine="420" w:firstLineChars="200"/>
        <w:jc w:val="left"/>
        <w:textAlignment w:val="auto"/>
        <w:rPr>
          <w:rFonts w:hint="eastAsia" w:ascii="宋体" w:hAnsi="宋体" w:eastAsia="宋体" w:cs="宋体"/>
          <w:snapToGrid w:val="0"/>
          <w:color w:val="auto"/>
          <w:spacing w:val="0"/>
          <w:sz w:val="21"/>
          <w:szCs w:val="21"/>
          <w:highlight w:val="none"/>
        </w:rPr>
      </w:pPr>
      <w:r>
        <w:rPr>
          <w:rFonts w:hint="eastAsia" w:ascii="宋体" w:hAnsi="宋体" w:eastAsia="宋体" w:cs="宋体"/>
          <w:snapToGrid w:val="0"/>
          <w:color w:val="auto"/>
          <w:spacing w:val="0"/>
          <w:sz w:val="21"/>
          <w:szCs w:val="21"/>
          <w:highlight w:val="none"/>
        </w:rPr>
        <w:t>任何一方如需改变上述账户，应提前十（10）日以书面形式通知另一方。如一方未按本合同规定通知而使另一方遭受损失的，应予以赔偿。</w:t>
      </w:r>
    </w:p>
    <w:p w14:paraId="5EA139AD">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right="0" w:firstLine="422" w:firstLineChars="200"/>
        <w:jc w:val="left"/>
        <w:textAlignment w:val="auto"/>
        <w:rPr>
          <w:rFonts w:hint="eastAsia" w:ascii="宋体" w:hAnsi="宋体" w:eastAsia="宋体" w:cs="宋体"/>
          <w:snapToGrid w:val="0"/>
          <w:color w:val="auto"/>
          <w:spacing w:val="0"/>
          <w:sz w:val="21"/>
          <w:szCs w:val="21"/>
          <w:highlight w:val="none"/>
        </w:rPr>
      </w:pPr>
      <w:r>
        <w:rPr>
          <w:rFonts w:hint="eastAsia" w:cs="宋体"/>
          <w:b/>
          <w:bCs/>
          <w:snapToGrid w:val="0"/>
          <w:color w:val="auto"/>
          <w:spacing w:val="0"/>
          <w:sz w:val="21"/>
          <w:szCs w:val="21"/>
          <w:highlight w:val="none"/>
          <w:lang w:val="en-US" w:eastAsia="zh-CN"/>
        </w:rPr>
        <w:t>五</w:t>
      </w:r>
      <w:r>
        <w:rPr>
          <w:rFonts w:hint="eastAsia" w:ascii="宋体" w:hAnsi="宋体" w:eastAsia="宋体" w:cs="宋体"/>
          <w:b/>
          <w:bCs/>
          <w:snapToGrid w:val="0"/>
          <w:color w:val="auto"/>
          <w:spacing w:val="0"/>
          <w:sz w:val="21"/>
          <w:szCs w:val="21"/>
          <w:highlight w:val="none"/>
        </w:rPr>
        <w:t>、安装、测试及验收</w:t>
      </w:r>
    </w:p>
    <w:p w14:paraId="0AA84FAC">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right="0" w:firstLine="420" w:firstLineChars="200"/>
        <w:jc w:val="left"/>
        <w:textAlignment w:val="auto"/>
        <w:rPr>
          <w:rFonts w:hint="eastAsia" w:ascii="宋体" w:hAnsi="宋体" w:eastAsia="宋体" w:cs="宋体"/>
          <w:snapToGrid w:val="0"/>
          <w:color w:val="auto"/>
          <w:spacing w:val="0"/>
          <w:sz w:val="21"/>
          <w:szCs w:val="21"/>
          <w:highlight w:val="none"/>
          <w:lang w:val="en-US" w:eastAsia="zh-CN"/>
        </w:rPr>
      </w:pPr>
      <w:r>
        <w:rPr>
          <w:rFonts w:hint="eastAsia" w:ascii="宋体" w:hAnsi="宋体" w:eastAsia="宋体" w:cs="宋体"/>
          <w:snapToGrid w:val="0"/>
          <w:color w:val="auto"/>
          <w:spacing w:val="0"/>
          <w:sz w:val="21"/>
          <w:szCs w:val="21"/>
          <w:highlight w:val="none"/>
          <w:lang w:val="en-US" w:eastAsia="zh-CN"/>
        </w:rPr>
        <w:t>1、双方应在项目服务开始前各指定一名代表负责处理从服务开始到验收合格期间的各项事务，具体工作应由双方代表友好协商安排。</w:t>
      </w:r>
    </w:p>
    <w:p w14:paraId="48CE8354">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right="0" w:firstLine="420" w:firstLineChars="200"/>
        <w:jc w:val="left"/>
        <w:textAlignment w:val="auto"/>
        <w:rPr>
          <w:rFonts w:hint="eastAsia" w:ascii="宋体" w:hAnsi="宋体" w:eastAsia="宋体" w:cs="宋体"/>
          <w:snapToGrid w:val="0"/>
          <w:color w:val="auto"/>
          <w:spacing w:val="0"/>
          <w:sz w:val="21"/>
          <w:szCs w:val="21"/>
          <w:highlight w:val="none"/>
        </w:rPr>
      </w:pPr>
      <w:r>
        <w:rPr>
          <w:rFonts w:hint="eastAsia" w:ascii="宋体" w:hAnsi="宋体" w:eastAsia="宋体" w:cs="宋体"/>
          <w:snapToGrid w:val="0"/>
          <w:color w:val="auto"/>
          <w:spacing w:val="0"/>
          <w:sz w:val="21"/>
          <w:szCs w:val="21"/>
          <w:highlight w:val="none"/>
          <w:lang w:val="en-US" w:eastAsia="zh-CN"/>
        </w:rPr>
        <w:t>2、乙方负责进行系统测试与调通，甲方应对乙方进行上述工作提供相应协助。</w:t>
      </w:r>
    </w:p>
    <w:p w14:paraId="784D46DF">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right="0" w:firstLine="422" w:firstLineChars="200"/>
        <w:jc w:val="left"/>
        <w:textAlignment w:val="auto"/>
        <w:rPr>
          <w:rFonts w:hint="eastAsia" w:ascii="宋体" w:hAnsi="宋体" w:eastAsia="宋体" w:cs="宋体"/>
          <w:snapToGrid w:val="0"/>
          <w:color w:val="auto"/>
          <w:spacing w:val="0"/>
          <w:sz w:val="21"/>
          <w:szCs w:val="21"/>
          <w:highlight w:val="none"/>
        </w:rPr>
      </w:pPr>
      <w:r>
        <w:rPr>
          <w:rFonts w:hint="eastAsia" w:cs="宋体"/>
          <w:b/>
          <w:bCs/>
          <w:snapToGrid w:val="0"/>
          <w:color w:val="auto"/>
          <w:spacing w:val="0"/>
          <w:sz w:val="21"/>
          <w:szCs w:val="21"/>
          <w:highlight w:val="none"/>
          <w:lang w:val="en-US" w:eastAsia="zh-CN"/>
        </w:rPr>
        <w:t>六</w:t>
      </w:r>
      <w:r>
        <w:rPr>
          <w:rFonts w:hint="eastAsia" w:ascii="宋体" w:hAnsi="宋体" w:eastAsia="宋体" w:cs="宋体"/>
          <w:b/>
          <w:bCs/>
          <w:snapToGrid w:val="0"/>
          <w:color w:val="auto"/>
          <w:spacing w:val="0"/>
          <w:sz w:val="21"/>
          <w:szCs w:val="21"/>
          <w:highlight w:val="none"/>
        </w:rPr>
        <w:t>、双方的权利和义务</w:t>
      </w:r>
    </w:p>
    <w:p w14:paraId="227C30D8">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right="0" w:firstLine="420" w:firstLineChars="200"/>
        <w:jc w:val="left"/>
        <w:textAlignment w:val="auto"/>
        <w:rPr>
          <w:rFonts w:hint="eastAsia" w:ascii="宋体" w:hAnsi="宋体" w:eastAsia="宋体" w:cs="宋体"/>
          <w:snapToGrid w:val="0"/>
          <w:color w:val="auto"/>
          <w:spacing w:val="0"/>
          <w:sz w:val="21"/>
          <w:szCs w:val="21"/>
          <w:highlight w:val="none"/>
        </w:rPr>
      </w:pPr>
      <w:r>
        <w:rPr>
          <w:rFonts w:hint="eastAsia" w:ascii="宋体" w:hAnsi="宋体" w:eastAsia="宋体" w:cs="宋体"/>
          <w:snapToGrid w:val="0"/>
          <w:color w:val="auto"/>
          <w:spacing w:val="0"/>
          <w:sz w:val="21"/>
          <w:szCs w:val="21"/>
          <w:highlight w:val="none"/>
        </w:rPr>
        <w:t>1、甲方的权利与义务</w:t>
      </w:r>
    </w:p>
    <w:p w14:paraId="2A40239C">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right="0" w:firstLine="420" w:firstLineChars="200"/>
        <w:jc w:val="left"/>
        <w:textAlignment w:val="auto"/>
        <w:rPr>
          <w:rFonts w:hint="eastAsia" w:ascii="宋体" w:hAnsi="宋体" w:eastAsia="宋体" w:cs="宋体"/>
          <w:snapToGrid w:val="0"/>
          <w:color w:val="auto"/>
          <w:spacing w:val="0"/>
          <w:sz w:val="21"/>
          <w:szCs w:val="21"/>
          <w:highlight w:val="none"/>
        </w:rPr>
      </w:pPr>
      <w:r>
        <w:rPr>
          <w:rFonts w:hint="eastAsia" w:ascii="宋体" w:hAnsi="宋体" w:eastAsia="宋体" w:cs="宋体"/>
          <w:snapToGrid w:val="0"/>
          <w:color w:val="auto"/>
          <w:spacing w:val="0"/>
          <w:sz w:val="21"/>
          <w:szCs w:val="21"/>
          <w:highlight w:val="none"/>
        </w:rPr>
        <w:t>（1）甲方应当按照本合同的约定及时间向乙方支付费用。</w:t>
      </w:r>
    </w:p>
    <w:p w14:paraId="3684A932">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right="0" w:firstLine="420" w:firstLineChars="200"/>
        <w:jc w:val="left"/>
        <w:textAlignment w:val="auto"/>
        <w:rPr>
          <w:rFonts w:hint="eastAsia" w:ascii="宋体" w:hAnsi="宋体" w:eastAsia="宋体" w:cs="宋体"/>
          <w:snapToGrid w:val="0"/>
          <w:color w:val="auto"/>
          <w:spacing w:val="0"/>
          <w:sz w:val="21"/>
          <w:szCs w:val="21"/>
          <w:highlight w:val="none"/>
        </w:rPr>
      </w:pPr>
      <w:r>
        <w:rPr>
          <w:rFonts w:hint="eastAsia" w:ascii="宋体" w:hAnsi="宋体" w:eastAsia="宋体" w:cs="宋体"/>
          <w:snapToGrid w:val="0"/>
          <w:color w:val="auto"/>
          <w:spacing w:val="0"/>
          <w:sz w:val="21"/>
          <w:szCs w:val="21"/>
          <w:highlight w:val="none"/>
        </w:rPr>
        <w:t>（2）甲方有权对乙方提供的服务进行监督和检查。</w:t>
      </w:r>
    </w:p>
    <w:p w14:paraId="5EE74368">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right="0" w:firstLine="420" w:firstLineChars="200"/>
        <w:jc w:val="left"/>
        <w:textAlignment w:val="auto"/>
        <w:rPr>
          <w:rFonts w:hint="eastAsia" w:ascii="宋体" w:hAnsi="宋体" w:eastAsia="宋体" w:cs="宋体"/>
          <w:snapToGrid w:val="0"/>
          <w:color w:val="auto"/>
          <w:spacing w:val="0"/>
          <w:sz w:val="21"/>
          <w:szCs w:val="21"/>
          <w:highlight w:val="none"/>
        </w:rPr>
      </w:pPr>
      <w:r>
        <w:rPr>
          <w:rFonts w:hint="eastAsia" w:ascii="宋体" w:hAnsi="宋体" w:eastAsia="宋体" w:cs="宋体"/>
          <w:snapToGrid w:val="0"/>
          <w:color w:val="auto"/>
          <w:spacing w:val="0"/>
          <w:sz w:val="21"/>
          <w:szCs w:val="21"/>
          <w:highlight w:val="none"/>
        </w:rPr>
        <w:t>（3）甲方应当对乙方履行本合同提供必要的协作和工作条件。</w:t>
      </w:r>
    </w:p>
    <w:p w14:paraId="0B244EC5">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right="0" w:firstLine="420" w:firstLineChars="200"/>
        <w:jc w:val="left"/>
        <w:textAlignment w:val="auto"/>
        <w:rPr>
          <w:rFonts w:hint="eastAsia" w:ascii="宋体" w:hAnsi="宋体" w:eastAsia="宋体" w:cs="宋体"/>
          <w:snapToGrid w:val="0"/>
          <w:color w:val="auto"/>
          <w:spacing w:val="0"/>
          <w:sz w:val="21"/>
          <w:szCs w:val="21"/>
          <w:highlight w:val="none"/>
        </w:rPr>
      </w:pPr>
      <w:r>
        <w:rPr>
          <w:rFonts w:hint="eastAsia" w:ascii="宋体" w:hAnsi="宋体" w:eastAsia="宋体" w:cs="宋体"/>
          <w:snapToGrid w:val="0"/>
          <w:color w:val="auto"/>
          <w:spacing w:val="0"/>
          <w:sz w:val="21"/>
          <w:szCs w:val="21"/>
          <w:highlight w:val="none"/>
        </w:rPr>
        <w:t>（4）本项目涉及的设备供电由甲方承担。乙方不承担本项目的施工及后期运营所产生的电费。</w:t>
      </w:r>
    </w:p>
    <w:p w14:paraId="3E0F82F4">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right="0" w:firstLine="420" w:firstLineChars="200"/>
        <w:jc w:val="left"/>
        <w:textAlignment w:val="auto"/>
        <w:rPr>
          <w:rFonts w:hint="eastAsia" w:ascii="宋体" w:hAnsi="宋体" w:eastAsia="宋体" w:cs="宋体"/>
          <w:snapToGrid w:val="0"/>
          <w:color w:val="auto"/>
          <w:spacing w:val="0"/>
          <w:sz w:val="21"/>
          <w:szCs w:val="21"/>
          <w:highlight w:val="none"/>
        </w:rPr>
      </w:pPr>
      <w:r>
        <w:rPr>
          <w:rFonts w:hint="eastAsia" w:ascii="宋体" w:hAnsi="宋体" w:eastAsia="宋体" w:cs="宋体"/>
          <w:snapToGrid w:val="0"/>
          <w:color w:val="auto"/>
          <w:spacing w:val="0"/>
          <w:sz w:val="21"/>
          <w:szCs w:val="21"/>
          <w:highlight w:val="none"/>
        </w:rPr>
        <w:t>2、乙方的权利与义务</w:t>
      </w:r>
    </w:p>
    <w:p w14:paraId="01B74FAB">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right="0" w:firstLine="420" w:firstLineChars="200"/>
        <w:jc w:val="left"/>
        <w:textAlignment w:val="auto"/>
        <w:rPr>
          <w:rFonts w:hint="eastAsia" w:ascii="宋体" w:hAnsi="宋体" w:eastAsia="宋体" w:cs="宋体"/>
          <w:snapToGrid w:val="0"/>
          <w:color w:val="auto"/>
          <w:spacing w:val="0"/>
          <w:sz w:val="21"/>
          <w:szCs w:val="21"/>
          <w:highlight w:val="none"/>
        </w:rPr>
      </w:pPr>
      <w:r>
        <w:rPr>
          <w:rFonts w:hint="eastAsia" w:ascii="宋体" w:hAnsi="宋体" w:eastAsia="宋体" w:cs="宋体"/>
          <w:snapToGrid w:val="0"/>
          <w:color w:val="auto"/>
          <w:spacing w:val="0"/>
          <w:sz w:val="21"/>
          <w:szCs w:val="21"/>
          <w:highlight w:val="none"/>
        </w:rPr>
        <w:t>（1）乙方应完全实施本合同所约定的服务条款。</w:t>
      </w:r>
    </w:p>
    <w:p w14:paraId="632A26A5">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right="0" w:firstLine="420" w:firstLineChars="200"/>
        <w:jc w:val="left"/>
        <w:textAlignment w:val="auto"/>
        <w:rPr>
          <w:rFonts w:hint="eastAsia" w:ascii="宋体" w:hAnsi="宋体" w:eastAsia="宋体" w:cs="宋体"/>
          <w:snapToGrid w:val="0"/>
          <w:color w:val="auto"/>
          <w:spacing w:val="0"/>
          <w:sz w:val="21"/>
          <w:szCs w:val="21"/>
          <w:highlight w:val="none"/>
        </w:rPr>
      </w:pPr>
      <w:r>
        <w:rPr>
          <w:rFonts w:hint="eastAsia" w:ascii="宋体" w:hAnsi="宋体" w:eastAsia="宋体" w:cs="宋体"/>
          <w:snapToGrid w:val="0"/>
          <w:color w:val="auto"/>
          <w:spacing w:val="0"/>
          <w:sz w:val="21"/>
          <w:szCs w:val="21"/>
          <w:highlight w:val="none"/>
        </w:rPr>
        <w:t>（2）乙方确保按照合同约定时限完成项目建设交付并投入使用。</w:t>
      </w:r>
    </w:p>
    <w:p w14:paraId="78EC9F84">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right="0" w:firstLine="420" w:firstLineChars="200"/>
        <w:jc w:val="left"/>
        <w:textAlignment w:val="auto"/>
        <w:rPr>
          <w:rFonts w:hint="eastAsia" w:ascii="宋体" w:hAnsi="宋体" w:eastAsia="宋体" w:cs="宋体"/>
          <w:snapToGrid w:val="0"/>
          <w:color w:val="auto"/>
          <w:spacing w:val="0"/>
          <w:sz w:val="21"/>
          <w:szCs w:val="21"/>
          <w:highlight w:val="none"/>
        </w:rPr>
      </w:pPr>
      <w:r>
        <w:rPr>
          <w:rFonts w:hint="eastAsia" w:ascii="宋体" w:hAnsi="宋体" w:eastAsia="宋体" w:cs="宋体"/>
          <w:snapToGrid w:val="0"/>
          <w:color w:val="auto"/>
          <w:spacing w:val="0"/>
          <w:sz w:val="21"/>
          <w:szCs w:val="21"/>
          <w:highlight w:val="none"/>
        </w:rPr>
        <w:t>（3）对于存在质量问题或者缺少的合同内约定的服务内容，乙方应在接到甲方通知后及时调换、重新制作或补齐。</w:t>
      </w:r>
    </w:p>
    <w:p w14:paraId="2991B9A6">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right="0" w:firstLine="420" w:firstLineChars="200"/>
        <w:jc w:val="left"/>
        <w:textAlignment w:val="auto"/>
        <w:rPr>
          <w:rFonts w:hint="eastAsia" w:ascii="宋体" w:hAnsi="宋体" w:eastAsia="宋体" w:cs="宋体"/>
          <w:snapToGrid w:val="0"/>
          <w:color w:val="auto"/>
          <w:spacing w:val="0"/>
          <w:sz w:val="21"/>
          <w:szCs w:val="21"/>
          <w:highlight w:val="none"/>
        </w:rPr>
      </w:pPr>
      <w:r>
        <w:rPr>
          <w:rFonts w:hint="eastAsia" w:ascii="宋体" w:hAnsi="宋体" w:eastAsia="宋体" w:cs="宋体"/>
          <w:snapToGrid w:val="0"/>
          <w:color w:val="auto"/>
          <w:spacing w:val="0"/>
          <w:sz w:val="21"/>
          <w:szCs w:val="21"/>
          <w:highlight w:val="none"/>
        </w:rPr>
        <w:t>（4）在服务期内，由于设备、软件、材料质量或工艺不良造成的系统故障时，乙方应迅速进行故障排查并修复。</w:t>
      </w:r>
    </w:p>
    <w:p w14:paraId="20CF2810">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right="0" w:firstLine="422" w:firstLineChars="200"/>
        <w:jc w:val="left"/>
        <w:textAlignment w:val="auto"/>
        <w:rPr>
          <w:rFonts w:hint="eastAsia" w:ascii="宋体" w:hAnsi="宋体" w:eastAsia="宋体" w:cs="宋体"/>
          <w:snapToGrid w:val="0"/>
          <w:color w:val="auto"/>
          <w:spacing w:val="0"/>
          <w:sz w:val="21"/>
          <w:szCs w:val="21"/>
          <w:highlight w:val="none"/>
        </w:rPr>
      </w:pPr>
      <w:r>
        <w:rPr>
          <w:rFonts w:hint="eastAsia" w:ascii="宋体" w:hAnsi="宋体" w:eastAsia="宋体" w:cs="宋体"/>
          <w:b/>
          <w:bCs/>
          <w:snapToGrid w:val="0"/>
          <w:color w:val="auto"/>
          <w:spacing w:val="0"/>
          <w:sz w:val="21"/>
          <w:szCs w:val="21"/>
          <w:highlight w:val="none"/>
          <w:lang w:val="en-US" w:eastAsia="zh-CN"/>
        </w:rPr>
        <w:t>七、违约责任</w:t>
      </w:r>
    </w:p>
    <w:p w14:paraId="2B734C12">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right="0" w:firstLine="420" w:firstLineChars="200"/>
        <w:jc w:val="left"/>
        <w:textAlignment w:val="auto"/>
        <w:rPr>
          <w:rFonts w:hint="eastAsia" w:ascii="宋体" w:hAnsi="宋体" w:eastAsia="宋体" w:cs="宋体"/>
          <w:snapToGrid w:val="0"/>
          <w:color w:val="auto"/>
          <w:spacing w:val="0"/>
          <w:sz w:val="21"/>
          <w:szCs w:val="21"/>
          <w:highlight w:val="none"/>
        </w:rPr>
      </w:pPr>
      <w:r>
        <w:rPr>
          <w:rFonts w:hint="eastAsia" w:ascii="宋体" w:hAnsi="宋体" w:eastAsia="宋体" w:cs="宋体"/>
          <w:snapToGrid w:val="0"/>
          <w:color w:val="auto"/>
          <w:spacing w:val="0"/>
          <w:sz w:val="21"/>
          <w:szCs w:val="21"/>
          <w:highlight w:val="none"/>
        </w:rPr>
        <w:t>1、任何一方未履行本合同项下的义务均被视为违约，除因不可抗力因素造成合同无法履行外，任何一方违反本合同约定致使合同目的无法实现的，另一方有权终止本合同，并有权向违约方索取由此造成的全部损失。</w:t>
      </w:r>
    </w:p>
    <w:p w14:paraId="75163686">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right="0" w:firstLine="420" w:firstLineChars="200"/>
        <w:jc w:val="left"/>
        <w:textAlignment w:val="auto"/>
        <w:rPr>
          <w:rFonts w:hint="eastAsia" w:ascii="宋体" w:hAnsi="宋体" w:eastAsia="宋体" w:cs="宋体"/>
          <w:snapToGrid w:val="0"/>
          <w:color w:val="auto"/>
          <w:spacing w:val="0"/>
          <w:sz w:val="21"/>
          <w:szCs w:val="21"/>
          <w:highlight w:val="none"/>
        </w:rPr>
      </w:pPr>
      <w:r>
        <w:rPr>
          <w:rFonts w:hint="eastAsia" w:ascii="宋体" w:hAnsi="宋体" w:eastAsia="宋体" w:cs="宋体"/>
          <w:snapToGrid w:val="0"/>
          <w:color w:val="auto"/>
          <w:spacing w:val="0"/>
          <w:sz w:val="21"/>
          <w:szCs w:val="21"/>
          <w:highlight w:val="none"/>
        </w:rPr>
        <w:t>2、本合同签订后，若乙方原因造成工期延误，应与甲方积极协商，并根据双方协商结果进行补救或赔偿。协商不成乙方按照合同总价每日千分之三向甲方承担违约责任。逾期超过30日的，甲方有权解除合同，乙方应向甲方支付合同总价10%的违约金，并赔偿甲方因此所造成的损失。</w:t>
      </w:r>
    </w:p>
    <w:p w14:paraId="6A2BA90A">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right="0" w:firstLine="420" w:firstLineChars="200"/>
        <w:jc w:val="left"/>
        <w:textAlignment w:val="auto"/>
        <w:rPr>
          <w:rFonts w:hint="eastAsia" w:ascii="宋体" w:hAnsi="宋体" w:eastAsia="宋体" w:cs="宋体"/>
          <w:snapToGrid w:val="0"/>
          <w:color w:val="auto"/>
          <w:spacing w:val="0"/>
          <w:sz w:val="21"/>
          <w:szCs w:val="21"/>
          <w:highlight w:val="none"/>
        </w:rPr>
      </w:pPr>
      <w:r>
        <w:rPr>
          <w:rFonts w:hint="eastAsia" w:ascii="宋体" w:hAnsi="宋体" w:eastAsia="宋体" w:cs="宋体"/>
          <w:snapToGrid w:val="0"/>
          <w:color w:val="auto"/>
          <w:spacing w:val="0"/>
          <w:sz w:val="21"/>
          <w:szCs w:val="21"/>
          <w:highlight w:val="none"/>
        </w:rPr>
        <w:t>3、如果工程进度由于甲方原因推迟的，则本合同履行期限相应顺延。</w:t>
      </w:r>
    </w:p>
    <w:p w14:paraId="6B9F8AFA">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right="0" w:firstLine="420" w:firstLineChars="200"/>
        <w:jc w:val="left"/>
        <w:textAlignment w:val="auto"/>
        <w:rPr>
          <w:rFonts w:hint="eastAsia" w:ascii="宋体" w:hAnsi="宋体" w:eastAsia="宋体" w:cs="宋体"/>
          <w:snapToGrid w:val="0"/>
          <w:color w:val="auto"/>
          <w:spacing w:val="0"/>
          <w:sz w:val="21"/>
          <w:szCs w:val="21"/>
          <w:highlight w:val="none"/>
        </w:rPr>
      </w:pPr>
      <w:r>
        <w:rPr>
          <w:rFonts w:hint="eastAsia" w:ascii="宋体" w:hAnsi="宋体" w:eastAsia="宋体" w:cs="宋体"/>
          <w:snapToGrid w:val="0"/>
          <w:color w:val="auto"/>
          <w:spacing w:val="0"/>
          <w:sz w:val="21"/>
          <w:szCs w:val="21"/>
          <w:highlight w:val="none"/>
        </w:rPr>
        <w:t>4、甲方未按合同约定向乙方支付合同价款的，应当每日按照逾期金额的3‰向乙方支付违约金，逾期超过30日的，乙方有权单方解除本合同，甲方应向乙方支付合同总价10%的违约金，并赔偿乙方因此所造成的损失。付款时间以甲方财务主管部门审批通过后的付款时间为准。因财务审批造成付款时间延误，甲方不构成违约。</w:t>
      </w:r>
    </w:p>
    <w:p w14:paraId="22051181">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right="0" w:firstLine="422" w:firstLineChars="200"/>
        <w:jc w:val="left"/>
        <w:textAlignment w:val="auto"/>
        <w:rPr>
          <w:rFonts w:hint="eastAsia" w:ascii="宋体" w:hAnsi="宋体" w:eastAsia="宋体" w:cs="宋体"/>
          <w:snapToGrid w:val="0"/>
          <w:color w:val="auto"/>
          <w:spacing w:val="0"/>
          <w:sz w:val="21"/>
          <w:szCs w:val="21"/>
          <w:highlight w:val="none"/>
        </w:rPr>
      </w:pPr>
      <w:r>
        <w:rPr>
          <w:rFonts w:hint="eastAsia" w:ascii="宋体" w:hAnsi="宋体" w:eastAsia="宋体" w:cs="宋体"/>
          <w:b/>
          <w:bCs/>
          <w:snapToGrid w:val="0"/>
          <w:color w:val="auto"/>
          <w:spacing w:val="0"/>
          <w:sz w:val="21"/>
          <w:szCs w:val="21"/>
          <w:highlight w:val="none"/>
          <w:lang w:val="en-US" w:eastAsia="zh-CN"/>
        </w:rPr>
        <w:t>八、不可抗力</w:t>
      </w:r>
    </w:p>
    <w:p w14:paraId="67F66B54">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right="0" w:firstLine="420" w:firstLineChars="200"/>
        <w:jc w:val="left"/>
        <w:textAlignment w:val="auto"/>
        <w:rPr>
          <w:rFonts w:hint="eastAsia" w:ascii="宋体" w:hAnsi="宋体" w:eastAsia="宋体" w:cs="宋体"/>
          <w:snapToGrid w:val="0"/>
          <w:color w:val="auto"/>
          <w:spacing w:val="0"/>
          <w:sz w:val="21"/>
          <w:szCs w:val="21"/>
          <w:highlight w:val="none"/>
        </w:rPr>
      </w:pPr>
      <w:r>
        <w:rPr>
          <w:rFonts w:hint="eastAsia" w:ascii="宋体" w:hAnsi="宋体" w:eastAsia="宋体" w:cs="宋体"/>
          <w:snapToGrid w:val="0"/>
          <w:color w:val="auto"/>
          <w:spacing w:val="0"/>
          <w:sz w:val="21"/>
          <w:szCs w:val="21"/>
          <w:highlight w:val="none"/>
        </w:rPr>
        <w:t>本合同所指不可抗力，是指不能预见、不能避免并不能克服的客观情况（包括但不限于由于地震、台风、洪水、火灾、战争、罢工、政府干预以及其他不能预见并且对其发生后果不能防止或避免的不可抗力）。由于不可抗力事件，致使一方在履行其在本合同项下的义务过程中遇到障碍或延误，不能按约定的条款全部或部分履行其义务的，遇到不可抗力事件的一方（“受阻方”），只要满足下列所有条件，不应视为违反本合同：</w:t>
      </w:r>
    </w:p>
    <w:p w14:paraId="78F184E7">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right="0" w:firstLine="420" w:firstLineChars="200"/>
        <w:jc w:val="left"/>
        <w:textAlignment w:val="auto"/>
        <w:rPr>
          <w:rFonts w:hint="eastAsia" w:ascii="宋体" w:hAnsi="宋体" w:eastAsia="宋体" w:cs="宋体"/>
          <w:snapToGrid w:val="0"/>
          <w:color w:val="auto"/>
          <w:spacing w:val="0"/>
          <w:sz w:val="21"/>
          <w:szCs w:val="21"/>
          <w:highlight w:val="none"/>
        </w:rPr>
      </w:pPr>
      <w:r>
        <w:rPr>
          <w:rFonts w:hint="eastAsia" w:ascii="宋体" w:hAnsi="宋体" w:eastAsia="宋体" w:cs="宋体"/>
          <w:snapToGrid w:val="0"/>
          <w:color w:val="auto"/>
          <w:spacing w:val="0"/>
          <w:sz w:val="21"/>
          <w:szCs w:val="21"/>
          <w:highlight w:val="none"/>
        </w:rPr>
        <w:t>1、受阻方不能全部或部分履行其义务，是由于不可抗力事件直接造成的，且在不可抗力发生前受阻方不存在迟延履行相关义务的情形。</w:t>
      </w:r>
    </w:p>
    <w:p w14:paraId="6285303A">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right="0" w:firstLine="420" w:firstLineChars="200"/>
        <w:jc w:val="left"/>
        <w:textAlignment w:val="auto"/>
        <w:rPr>
          <w:rFonts w:hint="eastAsia" w:ascii="宋体" w:hAnsi="宋体" w:eastAsia="宋体" w:cs="宋体"/>
          <w:snapToGrid w:val="0"/>
          <w:color w:val="auto"/>
          <w:spacing w:val="0"/>
          <w:sz w:val="21"/>
          <w:szCs w:val="21"/>
          <w:highlight w:val="none"/>
        </w:rPr>
      </w:pPr>
      <w:r>
        <w:rPr>
          <w:rFonts w:hint="eastAsia" w:ascii="宋体" w:hAnsi="宋体" w:eastAsia="宋体" w:cs="宋体"/>
          <w:snapToGrid w:val="0"/>
          <w:color w:val="auto"/>
          <w:spacing w:val="0"/>
          <w:sz w:val="21"/>
          <w:szCs w:val="21"/>
          <w:highlight w:val="none"/>
        </w:rPr>
        <w:t>2、受阻方已尽最大努力履行其义务并减少由于不可抗力事件给另一方造成的损失；不可抗力事件终止或被排除后，受阻方应继续履行本合同，并应尽快通知另一方。受阻方应延长履行义务的时间，延长期应相当于不可抗力事件实际造成延误的时间。</w:t>
      </w:r>
    </w:p>
    <w:p w14:paraId="11F95693">
      <w:pPr>
        <w:keepNext w:val="0"/>
        <w:keepLines w:val="0"/>
        <w:pageBreakBefore w:val="0"/>
        <w:kinsoku/>
        <w:wordWrap/>
        <w:overflowPunct/>
        <w:topLinePunct w:val="0"/>
        <w:bidi w:val="0"/>
        <w:snapToGrid w:val="0"/>
        <w:spacing w:line="360" w:lineRule="auto"/>
        <w:ind w:left="0" w:leftChars="0" w:firstLine="441" w:firstLineChars="209"/>
        <w:jc w:val="left"/>
        <w:textAlignment w:val="auto"/>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九、保密条款</w:t>
      </w:r>
    </w:p>
    <w:p w14:paraId="7D897CC1">
      <w:pPr>
        <w:keepNext w:val="0"/>
        <w:keepLines w:val="0"/>
        <w:pageBreakBefore w:val="0"/>
        <w:kinsoku/>
        <w:wordWrap/>
        <w:overflowPunct/>
        <w:topLinePunct w:val="0"/>
        <w:bidi w:val="0"/>
        <w:adjustRightInd w:val="0"/>
        <w:snapToGrid w:val="0"/>
        <w:spacing w:line="360" w:lineRule="auto"/>
        <w:ind w:left="0" w:leftChars="0" w:firstLine="438" w:firstLineChars="209"/>
        <w:textAlignment w:val="auto"/>
        <w:rPr>
          <w:rFonts w:hint="eastAsia" w:ascii="宋体" w:hAnsi="宋体" w:eastAsia="宋体" w:cs="宋体"/>
          <w:color w:val="auto"/>
          <w:kern w:val="28"/>
          <w:sz w:val="21"/>
          <w:szCs w:val="21"/>
          <w:highlight w:val="none"/>
        </w:rPr>
      </w:pPr>
      <w:r>
        <w:rPr>
          <w:rFonts w:hint="eastAsia" w:ascii="宋体" w:hAnsi="宋体" w:eastAsia="宋体" w:cs="宋体"/>
          <w:color w:val="auto"/>
          <w:kern w:val="28"/>
          <w:sz w:val="21"/>
          <w:szCs w:val="21"/>
          <w:highlight w:val="none"/>
        </w:rPr>
        <w:t>1、双方承诺，除非法律另有规定或双方一致同意，任何一方不得将本合同的内容向第三方透露或使用，否则，应向对方承担相应的违约责任。</w:t>
      </w:r>
    </w:p>
    <w:p w14:paraId="45F0543E">
      <w:pPr>
        <w:keepNext w:val="0"/>
        <w:keepLines w:val="0"/>
        <w:pageBreakBefore w:val="0"/>
        <w:kinsoku/>
        <w:wordWrap/>
        <w:overflowPunct/>
        <w:topLinePunct w:val="0"/>
        <w:bidi w:val="0"/>
        <w:adjustRightInd w:val="0"/>
        <w:snapToGrid w:val="0"/>
        <w:spacing w:line="360" w:lineRule="auto"/>
        <w:ind w:left="0" w:leftChars="0" w:firstLine="438" w:firstLineChars="209"/>
        <w:textAlignment w:val="auto"/>
        <w:rPr>
          <w:rFonts w:hint="eastAsia" w:ascii="宋体" w:hAnsi="宋体" w:eastAsia="宋体" w:cs="宋体"/>
          <w:color w:val="auto"/>
          <w:kern w:val="28"/>
          <w:sz w:val="21"/>
          <w:szCs w:val="21"/>
          <w:highlight w:val="none"/>
        </w:rPr>
      </w:pPr>
      <w:r>
        <w:rPr>
          <w:rFonts w:hint="eastAsia" w:ascii="宋体" w:hAnsi="宋体" w:eastAsia="宋体" w:cs="宋体"/>
          <w:color w:val="auto"/>
          <w:kern w:val="28"/>
          <w:sz w:val="21"/>
          <w:szCs w:val="21"/>
          <w:highlight w:val="none"/>
        </w:rPr>
        <w:t>2、双方同意在本合同期限内或之后，（1）只为本合同目的而使用属于对方的保密资料，（2）在未得到对方书面同意之前，不将对方的保密资料披露给第三方，（3）如果披露方要求，接受方应立即将任何被要求退还的保密资料退还给披露方。</w:t>
      </w:r>
    </w:p>
    <w:p w14:paraId="5410FAD5">
      <w:pPr>
        <w:keepNext w:val="0"/>
        <w:keepLines w:val="0"/>
        <w:pageBreakBefore w:val="0"/>
        <w:kinsoku/>
        <w:wordWrap/>
        <w:overflowPunct/>
        <w:topLinePunct w:val="0"/>
        <w:bidi w:val="0"/>
        <w:adjustRightInd w:val="0"/>
        <w:snapToGrid w:val="0"/>
        <w:spacing w:line="360" w:lineRule="auto"/>
        <w:ind w:left="0" w:leftChars="0" w:firstLine="438" w:firstLineChars="209"/>
        <w:textAlignment w:val="auto"/>
        <w:rPr>
          <w:rFonts w:hint="eastAsia" w:ascii="宋体" w:hAnsi="宋体" w:eastAsia="宋体" w:cs="宋体"/>
          <w:color w:val="auto"/>
          <w:kern w:val="28"/>
          <w:sz w:val="21"/>
          <w:szCs w:val="21"/>
          <w:highlight w:val="none"/>
        </w:rPr>
      </w:pPr>
      <w:r>
        <w:rPr>
          <w:rFonts w:hint="eastAsia" w:ascii="宋体" w:hAnsi="宋体" w:eastAsia="宋体" w:cs="宋体"/>
          <w:color w:val="auto"/>
          <w:kern w:val="28"/>
          <w:sz w:val="21"/>
          <w:szCs w:val="21"/>
          <w:highlight w:val="none"/>
        </w:rPr>
        <w:t>3、本合同中，保密资料是指任何一方所有的与披露方现有的潜在的业务、运营或财务状况直接或间接有关的书面、演示、电子、或其他形式的资料（包括：客户名单、相关数据等），但不包括以下资料：</w:t>
      </w:r>
    </w:p>
    <w:p w14:paraId="184E4ED9">
      <w:pPr>
        <w:keepNext w:val="0"/>
        <w:keepLines w:val="0"/>
        <w:pageBreakBefore w:val="0"/>
        <w:kinsoku/>
        <w:wordWrap/>
        <w:overflowPunct/>
        <w:topLinePunct w:val="0"/>
        <w:bidi w:val="0"/>
        <w:adjustRightInd w:val="0"/>
        <w:snapToGrid w:val="0"/>
        <w:spacing w:line="360" w:lineRule="auto"/>
        <w:ind w:left="0" w:leftChars="0" w:firstLine="438" w:firstLineChars="209"/>
        <w:textAlignment w:val="auto"/>
        <w:rPr>
          <w:rFonts w:hint="eastAsia" w:ascii="宋体" w:hAnsi="宋体" w:eastAsia="宋体" w:cs="宋体"/>
          <w:color w:val="auto"/>
          <w:kern w:val="28"/>
          <w:sz w:val="21"/>
          <w:szCs w:val="21"/>
          <w:highlight w:val="none"/>
        </w:rPr>
      </w:pPr>
      <w:r>
        <w:rPr>
          <w:rFonts w:hint="eastAsia" w:ascii="宋体" w:hAnsi="宋体" w:eastAsia="宋体" w:cs="宋体"/>
          <w:color w:val="auto"/>
          <w:kern w:val="28"/>
          <w:sz w:val="21"/>
          <w:szCs w:val="21"/>
          <w:highlight w:val="none"/>
        </w:rPr>
        <w:t>（1）为公众所知的；</w:t>
      </w:r>
    </w:p>
    <w:p w14:paraId="20BE5D6D">
      <w:pPr>
        <w:keepNext w:val="0"/>
        <w:keepLines w:val="0"/>
        <w:pageBreakBefore w:val="0"/>
        <w:kinsoku/>
        <w:wordWrap/>
        <w:overflowPunct/>
        <w:topLinePunct w:val="0"/>
        <w:bidi w:val="0"/>
        <w:adjustRightInd w:val="0"/>
        <w:snapToGrid w:val="0"/>
        <w:spacing w:line="360" w:lineRule="auto"/>
        <w:ind w:left="0" w:leftChars="0" w:firstLine="438" w:firstLineChars="209"/>
        <w:textAlignment w:val="auto"/>
        <w:rPr>
          <w:rFonts w:hint="eastAsia" w:ascii="宋体" w:hAnsi="宋体" w:eastAsia="宋体" w:cs="宋体"/>
          <w:color w:val="auto"/>
          <w:kern w:val="28"/>
          <w:sz w:val="21"/>
          <w:szCs w:val="21"/>
          <w:highlight w:val="none"/>
        </w:rPr>
      </w:pPr>
      <w:r>
        <w:rPr>
          <w:rFonts w:hint="eastAsia" w:ascii="宋体" w:hAnsi="宋体" w:eastAsia="宋体" w:cs="宋体"/>
          <w:color w:val="auto"/>
          <w:kern w:val="28"/>
          <w:sz w:val="21"/>
          <w:szCs w:val="21"/>
          <w:highlight w:val="none"/>
        </w:rPr>
        <w:t>（2）接受方通过没有保密义务的独立渠道合法获得的资料；</w:t>
      </w:r>
    </w:p>
    <w:p w14:paraId="4D9F3E49">
      <w:pPr>
        <w:keepNext w:val="0"/>
        <w:keepLines w:val="0"/>
        <w:pageBreakBefore w:val="0"/>
        <w:kinsoku/>
        <w:wordWrap/>
        <w:overflowPunct/>
        <w:topLinePunct w:val="0"/>
        <w:bidi w:val="0"/>
        <w:adjustRightInd w:val="0"/>
        <w:snapToGrid w:val="0"/>
        <w:spacing w:line="360" w:lineRule="auto"/>
        <w:ind w:left="0" w:leftChars="0" w:firstLine="438" w:firstLineChars="209"/>
        <w:textAlignment w:val="auto"/>
        <w:rPr>
          <w:rFonts w:hint="eastAsia" w:ascii="宋体" w:hAnsi="宋体" w:eastAsia="宋体" w:cs="宋体"/>
          <w:color w:val="auto"/>
          <w:kern w:val="28"/>
          <w:sz w:val="21"/>
          <w:szCs w:val="21"/>
          <w:highlight w:val="none"/>
        </w:rPr>
      </w:pPr>
      <w:r>
        <w:rPr>
          <w:rFonts w:hint="eastAsia" w:ascii="宋体" w:hAnsi="宋体" w:eastAsia="宋体" w:cs="宋体"/>
          <w:color w:val="auto"/>
          <w:kern w:val="28"/>
          <w:sz w:val="21"/>
          <w:szCs w:val="21"/>
          <w:highlight w:val="none"/>
        </w:rPr>
        <w:t>（3）接受方在本合同保密条款签订之前已经知道的资料；</w:t>
      </w:r>
    </w:p>
    <w:p w14:paraId="10E97236">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right="0" w:firstLine="438" w:firstLineChars="209"/>
        <w:jc w:val="left"/>
        <w:textAlignment w:val="auto"/>
        <w:rPr>
          <w:rFonts w:hint="eastAsia" w:ascii="宋体" w:hAnsi="宋体" w:eastAsia="宋体" w:cs="宋体"/>
          <w:snapToGrid w:val="0"/>
          <w:color w:val="auto"/>
          <w:spacing w:val="0"/>
          <w:sz w:val="21"/>
          <w:szCs w:val="21"/>
          <w:highlight w:val="none"/>
        </w:rPr>
      </w:pPr>
      <w:r>
        <w:rPr>
          <w:rFonts w:hint="eastAsia" w:ascii="宋体" w:hAnsi="宋体" w:eastAsia="宋体" w:cs="宋体"/>
          <w:color w:val="auto"/>
          <w:kern w:val="28"/>
          <w:sz w:val="21"/>
          <w:szCs w:val="21"/>
          <w:highlight w:val="none"/>
        </w:rPr>
        <w:t>（4）因法律行为（包括诉讼、仲裁等行为）和执行国家政策的需要进行披露的资料。</w:t>
      </w:r>
    </w:p>
    <w:p w14:paraId="68A084D2">
      <w:pPr>
        <w:keepNext w:val="0"/>
        <w:keepLines w:val="0"/>
        <w:pageBreakBefore w:val="0"/>
        <w:kinsoku/>
        <w:wordWrap/>
        <w:overflowPunct/>
        <w:topLinePunct w:val="0"/>
        <w:bidi w:val="0"/>
        <w:snapToGrid w:val="0"/>
        <w:spacing w:line="360" w:lineRule="auto"/>
        <w:ind w:left="0" w:leftChars="0" w:firstLine="441" w:firstLineChars="209"/>
        <w:jc w:val="left"/>
        <w:textAlignment w:val="auto"/>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十、税务条款</w:t>
      </w:r>
    </w:p>
    <w:p w14:paraId="083FE429">
      <w:pPr>
        <w:keepNext w:val="0"/>
        <w:keepLines w:val="0"/>
        <w:pageBreakBefore w:val="0"/>
        <w:kinsoku/>
        <w:wordWrap/>
        <w:overflowPunct/>
        <w:topLinePunct w:val="0"/>
        <w:bidi w:val="0"/>
        <w:snapToGrid w:val="0"/>
        <w:spacing w:line="360" w:lineRule="auto"/>
        <w:ind w:left="0" w:leftChars="0" w:firstLine="438" w:firstLineChars="209"/>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1、双方保证按中华人民共和国政府的相关法律、法规足额缴纳应交税款，在合同履行过程中无偷漏税行为。</w:t>
      </w:r>
    </w:p>
    <w:p w14:paraId="4CDE5D74">
      <w:pPr>
        <w:keepNext w:val="0"/>
        <w:keepLines w:val="0"/>
        <w:pageBreakBefore w:val="0"/>
        <w:kinsoku/>
        <w:wordWrap/>
        <w:overflowPunct/>
        <w:topLinePunct w:val="0"/>
        <w:bidi w:val="0"/>
        <w:snapToGrid w:val="0"/>
        <w:spacing w:line="360" w:lineRule="auto"/>
        <w:ind w:left="0" w:leftChars="0" w:firstLine="438" w:firstLineChars="209"/>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2、本合同各方应各自承担其未按中华人民共和国相关税务法规足额缴纳税款而产生的全部责任。各方不因签署本合同而导致连带承担对方的税务责任，如果因此而导致一方的损失，责任方应当赔偿前述损失。</w:t>
      </w:r>
    </w:p>
    <w:p w14:paraId="29AB5E80">
      <w:pPr>
        <w:keepNext w:val="0"/>
        <w:keepLines w:val="0"/>
        <w:pageBreakBefore w:val="0"/>
        <w:kinsoku/>
        <w:wordWrap/>
        <w:overflowPunct/>
        <w:topLinePunct w:val="0"/>
        <w:bidi w:val="0"/>
        <w:snapToGrid w:val="0"/>
        <w:spacing w:line="360" w:lineRule="auto"/>
        <w:ind w:left="0" w:leftChars="0" w:firstLine="438" w:firstLineChars="209"/>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3、由于乙方发票不合格而引起的一切责任由乙方自行承担。</w:t>
      </w:r>
    </w:p>
    <w:p w14:paraId="2213E926">
      <w:pPr>
        <w:keepNext w:val="0"/>
        <w:keepLines w:val="0"/>
        <w:pageBreakBefore w:val="0"/>
        <w:kinsoku/>
        <w:wordWrap/>
        <w:overflowPunct/>
        <w:topLinePunct w:val="0"/>
        <w:bidi w:val="0"/>
        <w:snapToGrid w:val="0"/>
        <w:spacing w:line="360" w:lineRule="auto"/>
        <w:ind w:left="0" w:leftChars="0" w:firstLine="441" w:firstLineChars="209"/>
        <w:jc w:val="left"/>
        <w:textAlignment w:val="auto"/>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十一、知识产权</w:t>
      </w:r>
    </w:p>
    <w:p w14:paraId="53FAFB6D">
      <w:pPr>
        <w:keepNext w:val="0"/>
        <w:keepLines w:val="0"/>
        <w:pageBreakBefore w:val="0"/>
        <w:kinsoku/>
        <w:wordWrap/>
        <w:overflowPunct/>
        <w:topLinePunct w:val="0"/>
        <w:bidi w:val="0"/>
        <w:snapToGrid w:val="0"/>
        <w:spacing w:line="360" w:lineRule="auto"/>
        <w:ind w:left="0" w:leftChars="0" w:firstLine="438" w:firstLineChars="209"/>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乙方保证对其在服务过程中提供给甲方的软件、专利（含专有技术，下同）等成果拥有完全的知识产权或已经权利人许可使用，甲方依据本合同使用乙方提供的上述成果不会侵犯任何第三方的知识产权或其他权利。</w:t>
      </w:r>
    </w:p>
    <w:p w14:paraId="655025EA">
      <w:pPr>
        <w:keepNext w:val="0"/>
        <w:keepLines w:val="0"/>
        <w:pageBreakBefore w:val="0"/>
        <w:kinsoku/>
        <w:wordWrap/>
        <w:overflowPunct/>
        <w:topLinePunct w:val="0"/>
        <w:bidi w:val="0"/>
        <w:snapToGrid w:val="0"/>
        <w:spacing w:line="360" w:lineRule="auto"/>
        <w:ind w:left="0" w:leftChars="0" w:firstLine="438" w:firstLineChars="209"/>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乙方依本合同向甲方提供的所有资料、专利、软件产品及其数据或程序、文档等，其知识产权和/或其它权益全部归乙方所有，未经乙方事先书面同意，甲方不得为本合同之外的目的自行使用或擅自许可任何第三方使用。</w:t>
      </w:r>
    </w:p>
    <w:p w14:paraId="364D5A0D">
      <w:pPr>
        <w:keepNext w:val="0"/>
        <w:keepLines w:val="0"/>
        <w:pageBreakBefore w:val="0"/>
        <w:kinsoku/>
        <w:wordWrap/>
        <w:overflowPunct/>
        <w:topLinePunct w:val="0"/>
        <w:bidi w:val="0"/>
        <w:snapToGrid w:val="0"/>
        <w:spacing w:line="360" w:lineRule="auto"/>
        <w:ind w:left="0" w:leftChars="0" w:firstLine="438" w:firstLineChars="209"/>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甲方依据乙方拥有知识产权的业务规范、标准和要求或者是利用乙方的系统、资料数据、平台、网络等资源开发的所有专利、软件及其数据或程序等成果以及形成的技术文档的知识产权和/或其它权益归乙方所有。</w:t>
      </w:r>
    </w:p>
    <w:p w14:paraId="183868F4">
      <w:pPr>
        <w:keepNext w:val="0"/>
        <w:keepLines w:val="0"/>
        <w:pageBreakBefore w:val="0"/>
        <w:kinsoku/>
        <w:wordWrap/>
        <w:overflowPunct/>
        <w:topLinePunct w:val="0"/>
        <w:bidi w:val="0"/>
        <w:snapToGrid w:val="0"/>
        <w:spacing w:line="360" w:lineRule="auto"/>
        <w:ind w:left="0" w:leftChars="0" w:firstLine="438" w:firstLineChars="209"/>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4、乙方有权为自身运营的目的对甲方提供的专利、软件、文档、数据模型、类库等进行再开发，再开发成果的知识产权和/或其它权益归乙方所有，甲方有义务配合乙方的上述再开发工作。</w:t>
      </w:r>
    </w:p>
    <w:p w14:paraId="2C96EDA3">
      <w:pPr>
        <w:keepNext w:val="0"/>
        <w:keepLines w:val="0"/>
        <w:pageBreakBefore w:val="0"/>
        <w:kinsoku/>
        <w:wordWrap/>
        <w:overflowPunct/>
        <w:topLinePunct w:val="0"/>
        <w:bidi w:val="0"/>
        <w:snapToGrid w:val="0"/>
        <w:spacing w:line="360" w:lineRule="auto"/>
        <w:ind w:left="0" w:leftChars="0" w:firstLine="438" w:firstLineChars="209"/>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5、乙方保证其对本合同的履行以及提供的服务不会侵犯任何第三方的知识产权和/或其他合法权益。乙方承诺由于其侵权而引起的一切法律责任均由其承担。</w:t>
      </w:r>
    </w:p>
    <w:p w14:paraId="1A74ABD8">
      <w:pPr>
        <w:keepNext w:val="0"/>
        <w:keepLines w:val="0"/>
        <w:pageBreakBefore w:val="0"/>
        <w:kinsoku/>
        <w:wordWrap/>
        <w:overflowPunct/>
        <w:topLinePunct w:val="0"/>
        <w:bidi w:val="0"/>
        <w:snapToGrid w:val="0"/>
        <w:spacing w:line="360" w:lineRule="auto"/>
        <w:ind w:left="0" w:leftChars="0" w:firstLine="441" w:firstLineChars="209"/>
        <w:jc w:val="left"/>
        <w:textAlignment w:val="auto"/>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十二、网络安全和信息安全</w:t>
      </w:r>
    </w:p>
    <w:p w14:paraId="0DF8507E">
      <w:pPr>
        <w:keepNext w:val="0"/>
        <w:keepLines w:val="0"/>
        <w:pageBreakBefore w:val="0"/>
        <w:kinsoku/>
        <w:wordWrap/>
        <w:overflowPunct/>
        <w:topLinePunct w:val="0"/>
        <w:bidi w:val="0"/>
        <w:snapToGrid w:val="0"/>
        <w:spacing w:line="360" w:lineRule="auto"/>
        <w:ind w:left="0" w:leftChars="0" w:firstLine="438" w:firstLineChars="209"/>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1、甲方承诺：做好网络安全和信息安全工作，遵守国家与网络安全和信息安全相关的法律法规，遵守乙方与网络安全和信息安全相关的管理制度和规范，同时遵守以下规定：</w:t>
      </w:r>
    </w:p>
    <w:p w14:paraId="2AF2A1FF">
      <w:pPr>
        <w:keepNext w:val="0"/>
        <w:keepLines w:val="0"/>
        <w:pageBreakBefore w:val="0"/>
        <w:kinsoku/>
        <w:wordWrap/>
        <w:overflowPunct/>
        <w:topLinePunct w:val="0"/>
        <w:bidi w:val="0"/>
        <w:snapToGrid w:val="0"/>
        <w:spacing w:line="360" w:lineRule="auto"/>
        <w:ind w:left="0" w:leftChars="0" w:firstLine="438" w:firstLineChars="209"/>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2、甲方保证不利用网络危害国家安全、泄露国家秘密，不侵犯国家、社会、集体和第三方的合法权益，不从事违法犯罪活动。</w:t>
      </w:r>
    </w:p>
    <w:p w14:paraId="292BF6A1">
      <w:pPr>
        <w:keepNext w:val="0"/>
        <w:keepLines w:val="0"/>
        <w:pageBreakBefore w:val="0"/>
        <w:kinsoku/>
        <w:wordWrap/>
        <w:overflowPunct/>
        <w:topLinePunct w:val="0"/>
        <w:bidi w:val="0"/>
        <w:snapToGrid w:val="0"/>
        <w:spacing w:line="360" w:lineRule="auto"/>
        <w:ind w:left="0" w:leftChars="0" w:firstLine="438" w:firstLineChars="209"/>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3、甲方承诺，健全本单位的各项网络安全和信息安全管理制度，落实各项安全保护技术措施，严格按照国家相关法律法规做好本单位的网络安全和信息安全工作。</w:t>
      </w:r>
    </w:p>
    <w:p w14:paraId="5B8D1C2B">
      <w:pPr>
        <w:keepNext w:val="0"/>
        <w:keepLines w:val="0"/>
        <w:pageBreakBefore w:val="0"/>
        <w:kinsoku/>
        <w:wordWrap/>
        <w:overflowPunct/>
        <w:topLinePunct w:val="0"/>
        <w:bidi w:val="0"/>
        <w:snapToGrid w:val="0"/>
        <w:spacing w:line="360" w:lineRule="auto"/>
        <w:ind w:left="0" w:leftChars="0" w:firstLine="438" w:firstLineChars="209"/>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4、甲方承诺，在本合同履行过程中，若发生重大网络安全和信息安全事故时，立即采取应急措施，保留有关原始记录，并立即书面通知乙方。</w:t>
      </w:r>
    </w:p>
    <w:p w14:paraId="74B09BAA">
      <w:pPr>
        <w:keepNext w:val="0"/>
        <w:keepLines w:val="0"/>
        <w:pageBreakBefore w:val="0"/>
        <w:kinsoku/>
        <w:wordWrap/>
        <w:overflowPunct/>
        <w:topLinePunct w:val="0"/>
        <w:bidi w:val="0"/>
        <w:snapToGrid w:val="0"/>
        <w:spacing w:line="360" w:lineRule="auto"/>
        <w:ind w:left="0" w:leftChars="0" w:firstLine="438" w:firstLineChars="209"/>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5、甲方承诺，若违反国家与网络安全和信息安全相关的法律法规，由本单位承担相应法律责任，由此给乙方造成损失的，应予赔偿。</w:t>
      </w:r>
    </w:p>
    <w:p w14:paraId="44662204">
      <w:pPr>
        <w:keepNext w:val="0"/>
        <w:keepLines w:val="0"/>
        <w:pageBreakBefore w:val="0"/>
        <w:kinsoku/>
        <w:wordWrap/>
        <w:overflowPunct/>
        <w:topLinePunct w:val="0"/>
        <w:bidi w:val="0"/>
        <w:snapToGrid w:val="0"/>
        <w:spacing w:line="360" w:lineRule="auto"/>
        <w:ind w:left="0" w:leftChars="0" w:firstLine="438" w:firstLineChars="209"/>
        <w:jc w:val="left"/>
        <w:textAlignment w:val="auto"/>
        <w:rPr>
          <w:rFonts w:hint="eastAsia" w:ascii="宋体" w:hAnsi="宋体" w:eastAsia="宋体" w:cs="宋体"/>
          <w:b/>
          <w:color w:val="auto"/>
          <w:sz w:val="21"/>
          <w:szCs w:val="21"/>
          <w:highlight w:val="none"/>
          <w:lang w:val="zh-CN"/>
        </w:rPr>
      </w:pPr>
      <w:r>
        <w:rPr>
          <w:rFonts w:hint="eastAsia" w:ascii="宋体" w:hAnsi="宋体" w:eastAsia="宋体" w:cs="宋体"/>
          <w:color w:val="auto"/>
          <w:sz w:val="21"/>
          <w:szCs w:val="21"/>
          <w:highlight w:val="none"/>
        </w:rPr>
        <w:t>6、甲方违反上述承诺或保证的，乙方有权以书面形式通知甲方终止本合同。</w:t>
      </w:r>
    </w:p>
    <w:p w14:paraId="6EB1D334">
      <w:pPr>
        <w:keepNext w:val="0"/>
        <w:keepLines w:val="0"/>
        <w:pageBreakBefore w:val="0"/>
        <w:kinsoku/>
        <w:wordWrap/>
        <w:overflowPunct/>
        <w:topLinePunct w:val="0"/>
        <w:bidi w:val="0"/>
        <w:snapToGrid w:val="0"/>
        <w:spacing w:line="360" w:lineRule="auto"/>
        <w:ind w:left="0" w:leftChars="0" w:firstLine="441" w:firstLineChars="209"/>
        <w:jc w:val="left"/>
        <w:textAlignment w:val="auto"/>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十三、争议解决</w:t>
      </w:r>
    </w:p>
    <w:p w14:paraId="110001B7">
      <w:pPr>
        <w:keepNext w:val="0"/>
        <w:keepLines w:val="0"/>
        <w:pageBreakBefore w:val="0"/>
        <w:kinsoku/>
        <w:wordWrap/>
        <w:overflowPunct/>
        <w:topLinePunct w:val="0"/>
        <w:bidi w:val="0"/>
        <w:snapToGrid w:val="0"/>
        <w:spacing w:line="360" w:lineRule="auto"/>
        <w:ind w:left="0" w:leftChars="0" w:firstLine="438" w:firstLineChars="209"/>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1、本合同的成立、有效性、解释、履行签署、修订和终止以及争议的解决均应适用中华人民共和国法律。</w:t>
      </w:r>
    </w:p>
    <w:p w14:paraId="119409B5">
      <w:pPr>
        <w:keepNext w:val="0"/>
        <w:keepLines w:val="0"/>
        <w:pageBreakBefore w:val="0"/>
        <w:kinsoku/>
        <w:wordWrap/>
        <w:overflowPunct/>
        <w:topLinePunct w:val="0"/>
        <w:bidi w:val="0"/>
        <w:snapToGrid w:val="0"/>
        <w:spacing w:line="360" w:lineRule="auto"/>
        <w:ind w:left="0" w:leftChars="0" w:firstLine="438" w:firstLineChars="209"/>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2、如果任何争议或权利要求起因于本合同或与本合同有关或与本合同的解释违约、终止或效力有关,都应由双方通过友好协商解决协商应在一方向另一方送达关于协商的书面要求后立即开始。</w:t>
      </w:r>
    </w:p>
    <w:p w14:paraId="718C8354">
      <w:pPr>
        <w:keepNext w:val="0"/>
        <w:keepLines w:val="0"/>
        <w:pageBreakBefore w:val="0"/>
        <w:kinsoku/>
        <w:wordWrap/>
        <w:overflowPunct/>
        <w:topLinePunct w:val="0"/>
        <w:bidi w:val="0"/>
        <w:snapToGrid w:val="0"/>
        <w:spacing w:line="360" w:lineRule="auto"/>
        <w:ind w:left="0" w:leftChars="0" w:firstLine="438" w:firstLineChars="209"/>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3、如果在一方提出协商要求后的10日内,双方通过协商不能解决争议,则双方同意按以下方式解决:将该争议提交至</w:t>
      </w:r>
      <w:r>
        <w:rPr>
          <w:rFonts w:hint="eastAsia" w:ascii="宋体" w:hAnsi="宋体" w:eastAsia="宋体" w:cs="宋体"/>
          <w:color w:val="auto"/>
          <w:sz w:val="21"/>
          <w:szCs w:val="21"/>
          <w:highlight w:val="none"/>
          <w:lang w:val="en-US" w:eastAsia="zh-CN"/>
        </w:rPr>
        <w:t>甲方所在地人民法院解决</w:t>
      </w:r>
      <w:r>
        <w:rPr>
          <w:rFonts w:hint="eastAsia" w:ascii="宋体" w:hAnsi="宋体" w:eastAsia="宋体" w:cs="宋体"/>
          <w:color w:val="auto"/>
          <w:sz w:val="21"/>
          <w:szCs w:val="21"/>
          <w:highlight w:val="none"/>
        </w:rPr>
        <w:t>。</w:t>
      </w:r>
    </w:p>
    <w:p w14:paraId="2767CA07">
      <w:pPr>
        <w:keepNext w:val="0"/>
        <w:keepLines w:val="0"/>
        <w:pageBreakBefore w:val="0"/>
        <w:kinsoku/>
        <w:wordWrap/>
        <w:overflowPunct/>
        <w:topLinePunct w:val="0"/>
        <w:bidi w:val="0"/>
        <w:snapToGrid w:val="0"/>
        <w:spacing w:line="360" w:lineRule="auto"/>
        <w:ind w:left="0" w:leftChars="0" w:firstLine="438" w:firstLineChars="209"/>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w:t>
      </w:r>
      <w:r>
        <w:rPr>
          <w:rFonts w:hint="eastAsia" w:ascii="宋体" w:hAnsi="宋体" w:eastAsia="宋体" w:cs="宋体"/>
          <w:color w:val="auto"/>
          <w:sz w:val="21"/>
          <w:szCs w:val="21"/>
          <w:highlight w:val="none"/>
          <w:lang w:val="en-US" w:eastAsia="zh-CN"/>
        </w:rPr>
        <w:t>违约方</w:t>
      </w:r>
      <w:r>
        <w:rPr>
          <w:rFonts w:hint="eastAsia" w:ascii="宋体" w:hAnsi="宋体" w:eastAsia="宋体" w:cs="宋体"/>
          <w:color w:val="auto"/>
          <w:sz w:val="21"/>
          <w:szCs w:val="21"/>
          <w:highlight w:val="none"/>
        </w:rPr>
        <w:t>应</w:t>
      </w:r>
      <w:r>
        <w:rPr>
          <w:rFonts w:hint="eastAsia" w:ascii="宋体" w:hAnsi="宋体" w:eastAsia="宋体" w:cs="宋体"/>
          <w:color w:val="auto"/>
          <w:sz w:val="21"/>
          <w:szCs w:val="21"/>
          <w:highlight w:val="none"/>
          <w:lang w:val="en-US" w:eastAsia="zh-CN"/>
        </w:rPr>
        <w:t>向守约方</w:t>
      </w:r>
      <w:r>
        <w:rPr>
          <w:rFonts w:hint="eastAsia" w:ascii="宋体" w:hAnsi="宋体" w:eastAsia="宋体" w:cs="宋体"/>
          <w:color w:val="auto"/>
          <w:sz w:val="21"/>
          <w:szCs w:val="21"/>
          <w:highlight w:val="none"/>
        </w:rPr>
        <w:t>支付因</w:t>
      </w:r>
      <w:r>
        <w:rPr>
          <w:rFonts w:hint="eastAsia" w:ascii="宋体" w:hAnsi="宋体" w:eastAsia="宋体" w:cs="宋体"/>
          <w:color w:val="auto"/>
          <w:sz w:val="21"/>
          <w:szCs w:val="21"/>
          <w:highlight w:val="none"/>
          <w:lang w:val="en-US" w:eastAsia="zh-CN"/>
        </w:rPr>
        <w:t>诉讼</w:t>
      </w:r>
      <w:r>
        <w:rPr>
          <w:rFonts w:hint="eastAsia" w:ascii="宋体" w:hAnsi="宋体" w:eastAsia="宋体" w:cs="宋体"/>
          <w:color w:val="auto"/>
          <w:sz w:val="21"/>
          <w:szCs w:val="21"/>
          <w:highlight w:val="none"/>
        </w:rPr>
        <w:t>所发生的一切法律费用,包括但不限于律师费。</w:t>
      </w:r>
    </w:p>
    <w:p w14:paraId="569C3F62">
      <w:pPr>
        <w:keepNext w:val="0"/>
        <w:keepLines w:val="0"/>
        <w:pageBreakBefore w:val="0"/>
        <w:kinsoku/>
        <w:wordWrap/>
        <w:overflowPunct/>
        <w:topLinePunct w:val="0"/>
        <w:bidi w:val="0"/>
        <w:snapToGrid w:val="0"/>
        <w:spacing w:line="360" w:lineRule="auto"/>
        <w:ind w:left="0" w:leftChars="0" w:firstLine="438" w:firstLineChars="209"/>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w:t>
      </w:r>
      <w:r>
        <w:rPr>
          <w:rFonts w:hint="eastAsia" w:ascii="宋体" w:hAnsi="宋体" w:eastAsia="宋体" w:cs="宋体"/>
          <w:color w:val="auto"/>
          <w:sz w:val="21"/>
          <w:szCs w:val="21"/>
          <w:highlight w:val="none"/>
          <w:lang w:val="en-US" w:eastAsia="zh-CN"/>
        </w:rPr>
        <w:t>诉讼</w:t>
      </w:r>
      <w:r>
        <w:rPr>
          <w:rFonts w:hint="eastAsia" w:ascii="宋体" w:hAnsi="宋体" w:eastAsia="宋体" w:cs="宋体"/>
          <w:color w:val="auto"/>
          <w:sz w:val="21"/>
          <w:szCs w:val="21"/>
          <w:highlight w:val="none"/>
        </w:rPr>
        <w:t>进行过程中,除双方有争议的部分外,本合同其他部分仍然有效,双方应继续履行。</w:t>
      </w:r>
    </w:p>
    <w:p w14:paraId="0AB610BF">
      <w:pPr>
        <w:keepNext w:val="0"/>
        <w:keepLines w:val="0"/>
        <w:pageBreakBefore w:val="0"/>
        <w:kinsoku/>
        <w:wordWrap/>
        <w:overflowPunct/>
        <w:topLinePunct w:val="0"/>
        <w:bidi w:val="0"/>
        <w:snapToGrid w:val="0"/>
        <w:spacing w:line="360" w:lineRule="auto"/>
        <w:ind w:left="0" w:leftChars="0" w:firstLine="438" w:firstLineChars="209"/>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6、本合同全部或部分无效的,本条依然有效。</w:t>
      </w:r>
    </w:p>
    <w:p w14:paraId="3FD7FE76">
      <w:pPr>
        <w:keepNext w:val="0"/>
        <w:keepLines w:val="0"/>
        <w:pageBreakBefore w:val="0"/>
        <w:shd w:val="clear"/>
        <w:kinsoku/>
        <w:wordWrap/>
        <w:overflowPunct/>
        <w:topLinePunct w:val="0"/>
        <w:bidi w:val="0"/>
        <w:snapToGrid w:val="0"/>
        <w:spacing w:line="360" w:lineRule="auto"/>
        <w:ind w:firstLine="422" w:firstLineChars="200"/>
        <w:textAlignment w:val="auto"/>
        <w:rPr>
          <w:rFonts w:hint="eastAsia" w:ascii="宋体" w:hAnsi="宋体" w:eastAsia="宋体" w:cs="宋体"/>
          <w:b/>
          <w:bCs/>
          <w:color w:val="auto"/>
          <w:sz w:val="21"/>
          <w:szCs w:val="21"/>
          <w:highlight w:val="none"/>
          <w:lang w:eastAsia="zh-CN"/>
        </w:rPr>
      </w:pPr>
      <w:r>
        <w:rPr>
          <w:rFonts w:hint="eastAsia" w:cs="宋体"/>
          <w:b/>
          <w:bCs/>
          <w:color w:val="auto"/>
          <w:sz w:val="21"/>
          <w:szCs w:val="21"/>
          <w:highlight w:val="none"/>
          <w:lang w:val="en-US" w:eastAsia="zh-CN"/>
        </w:rPr>
        <w:t>十四、</w:t>
      </w:r>
      <w:r>
        <w:rPr>
          <w:rFonts w:hint="eastAsia" w:ascii="宋体" w:hAnsi="宋体" w:eastAsia="宋体" w:cs="宋体"/>
          <w:b/>
          <w:bCs/>
          <w:color w:val="auto"/>
          <w:sz w:val="21"/>
          <w:szCs w:val="21"/>
          <w:highlight w:val="none"/>
        </w:rPr>
        <w:t>监督和管理</w:t>
      </w:r>
    </w:p>
    <w:p w14:paraId="703332A2">
      <w:pPr>
        <w:keepNext w:val="0"/>
        <w:keepLines w:val="0"/>
        <w:pageBreakBefore w:val="0"/>
        <w:shd w:val="clear"/>
        <w:kinsoku/>
        <w:wordWrap/>
        <w:overflowPunct/>
        <w:topLinePunct w:val="0"/>
        <w:bidi w:val="0"/>
        <w:snapToGrid w:val="0"/>
        <w:spacing w:line="360" w:lineRule="auto"/>
        <w:ind w:firstLine="422" w:firstLineChars="200"/>
        <w:textAlignment w:val="auto"/>
        <w:rPr>
          <w:rFonts w:hint="eastAsia" w:ascii="宋体" w:hAnsi="宋体" w:eastAsia="宋体" w:cs="宋体"/>
          <w:b/>
          <w:bCs w:val="0"/>
          <w:color w:val="auto"/>
          <w:sz w:val="21"/>
          <w:szCs w:val="21"/>
          <w:highlight w:val="none"/>
        </w:rPr>
      </w:pPr>
      <w:r>
        <w:rPr>
          <w:rFonts w:hint="eastAsia" w:ascii="宋体" w:hAnsi="宋体" w:eastAsia="宋体" w:cs="宋体"/>
          <w:b/>
          <w:bCs w:val="0"/>
          <w:color w:val="auto"/>
          <w:sz w:val="21"/>
          <w:szCs w:val="21"/>
          <w:highlight w:val="none"/>
        </w:rPr>
        <w:t>1.政府采购合同履行中，甲方需追加与合同标的相同服务的，在不改变合同其他条款的前提下，可以与乙方协商签订补充合同，但所有补充合同的采购金额不得超过原合同采购金额的百分之十。</w:t>
      </w:r>
    </w:p>
    <w:p w14:paraId="7EF385BD">
      <w:pPr>
        <w:keepNext w:val="0"/>
        <w:keepLines w:val="0"/>
        <w:pageBreakBefore w:val="0"/>
        <w:widowControl w:val="0"/>
        <w:shd w:val="clear"/>
        <w:kinsoku/>
        <w:wordWrap/>
        <w:overflowPunct/>
        <w:topLinePunct w:val="0"/>
        <w:autoSpaceDE/>
        <w:autoSpaceDN/>
        <w:bidi w:val="0"/>
        <w:adjustRightInd/>
        <w:snapToGrid w:val="0"/>
        <w:spacing w:line="360" w:lineRule="auto"/>
        <w:ind w:left="0" w:leftChars="0" w:right="0" w:rightChars="0" w:firstLine="420" w:firstLineChars="200"/>
        <w:jc w:val="both"/>
        <w:textAlignment w:val="auto"/>
        <w:outlineLvl w:val="9"/>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2.甲乙双方均应自觉配合有关监督管理部门对合同履行情况的监督检查，如实反映情况，提供有关资料；否则，将对有关单位、当事人按照有关规定予以处罚。</w:t>
      </w:r>
    </w:p>
    <w:p w14:paraId="18CFF0A1">
      <w:pPr>
        <w:keepNext w:val="0"/>
        <w:keepLines w:val="0"/>
        <w:pageBreakBefore w:val="0"/>
        <w:widowControl w:val="0"/>
        <w:shd w:val="clear"/>
        <w:kinsoku/>
        <w:wordWrap/>
        <w:overflowPunct/>
        <w:topLinePunct w:val="0"/>
        <w:autoSpaceDE w:val="0"/>
        <w:autoSpaceDN w:val="0"/>
        <w:bidi w:val="0"/>
        <w:adjustRightInd/>
        <w:snapToGrid w:val="0"/>
        <w:spacing w:line="360" w:lineRule="auto"/>
        <w:ind w:left="0" w:leftChars="0" w:firstLine="422" w:firstLineChars="200"/>
        <w:textAlignment w:val="auto"/>
        <w:rPr>
          <w:rFonts w:hint="eastAsia" w:ascii="宋体" w:hAnsi="宋体" w:eastAsia="宋体" w:cs="宋体"/>
          <w:b/>
          <w:bCs/>
          <w:color w:val="auto"/>
          <w:sz w:val="21"/>
          <w:szCs w:val="21"/>
          <w:highlight w:val="none"/>
        </w:rPr>
      </w:pPr>
      <w:r>
        <w:rPr>
          <w:rFonts w:hint="eastAsia" w:cs="宋体"/>
          <w:b/>
          <w:bCs/>
          <w:color w:val="auto"/>
          <w:sz w:val="21"/>
          <w:szCs w:val="21"/>
          <w:highlight w:val="none"/>
          <w:lang w:val="en-US" w:eastAsia="zh-CN"/>
        </w:rPr>
        <w:t>十五、</w:t>
      </w:r>
      <w:r>
        <w:rPr>
          <w:rFonts w:hint="eastAsia" w:ascii="宋体" w:hAnsi="宋体" w:eastAsia="宋体" w:cs="宋体"/>
          <w:b/>
          <w:bCs/>
          <w:color w:val="auto"/>
          <w:sz w:val="21"/>
          <w:szCs w:val="21"/>
          <w:highlight w:val="none"/>
        </w:rPr>
        <w:t>附则</w:t>
      </w:r>
    </w:p>
    <w:p w14:paraId="68622977">
      <w:pPr>
        <w:keepNext w:val="0"/>
        <w:keepLines w:val="0"/>
        <w:pageBreakBefore w:val="0"/>
        <w:widowControl w:val="0"/>
        <w:shd w:val="clear"/>
        <w:kinsoku/>
        <w:wordWrap/>
        <w:overflowPunct/>
        <w:topLinePunct w:val="0"/>
        <w:autoSpaceDE w:val="0"/>
        <w:autoSpaceDN w:val="0"/>
        <w:bidi w:val="0"/>
        <w:adjustRightInd/>
        <w:snapToGrid w:val="0"/>
        <w:spacing w:line="360" w:lineRule="auto"/>
        <w:ind w:left="0" w:lef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1、如果本合同的任何条款在任何时候变成不合法、无效或不可强制执行而不从根本上影响本合同的效力时,本合同其他条款应不受影响。</w:t>
      </w:r>
    </w:p>
    <w:p w14:paraId="081E3308">
      <w:pPr>
        <w:keepNext w:val="0"/>
        <w:keepLines w:val="0"/>
        <w:pageBreakBefore w:val="0"/>
        <w:widowControl w:val="0"/>
        <w:shd w:val="clear"/>
        <w:kinsoku/>
        <w:wordWrap/>
        <w:overflowPunct/>
        <w:topLinePunct w:val="0"/>
        <w:autoSpaceDE w:val="0"/>
        <w:autoSpaceDN w:val="0"/>
        <w:bidi w:val="0"/>
        <w:adjustRightInd/>
        <w:snapToGrid w:val="0"/>
        <w:spacing w:line="360" w:lineRule="auto"/>
        <w:ind w:left="0" w:lef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2、双方以共同确认的技术方案为合作基础工程实施期间及合同有效期内,若甲方对技术方案中的项目进行微调变更,须经双方书面同意确认后方可变更。</w:t>
      </w:r>
    </w:p>
    <w:p w14:paraId="187DCBBE">
      <w:pPr>
        <w:keepNext w:val="0"/>
        <w:keepLines w:val="0"/>
        <w:pageBreakBefore w:val="0"/>
        <w:widowControl w:val="0"/>
        <w:shd w:val="clear"/>
        <w:kinsoku/>
        <w:wordWrap/>
        <w:overflowPunct/>
        <w:topLinePunct w:val="0"/>
        <w:autoSpaceDE w:val="0"/>
        <w:autoSpaceDN w:val="0"/>
        <w:bidi w:val="0"/>
        <w:adjustRightInd/>
        <w:snapToGrid w:val="0"/>
        <w:spacing w:line="360" w:lineRule="auto"/>
        <w:ind w:left="0" w:lef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3、此合同一式六份,双方各执三份,具有同等法律效力。本合同附件是合同不可分割的组成部分,与本合同具有同等法律效力。</w:t>
      </w:r>
    </w:p>
    <w:p w14:paraId="0E77C058">
      <w:pPr>
        <w:keepNext w:val="0"/>
        <w:keepLines w:val="0"/>
        <w:pageBreakBefore w:val="0"/>
        <w:widowControl w:val="0"/>
        <w:shd w:val="clear"/>
        <w:kinsoku/>
        <w:wordWrap/>
        <w:overflowPunct/>
        <w:topLinePunct w:val="0"/>
        <w:autoSpaceDE w:val="0"/>
        <w:autoSpaceDN w:val="0"/>
        <w:bidi w:val="0"/>
        <w:adjustRightInd/>
        <w:snapToGrid w:val="0"/>
        <w:spacing w:line="360" w:lineRule="auto"/>
        <w:ind w:left="0" w:lef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4、本合同未尽事宜由甲乙双方协商解决,并以补充、备忘录形式加以补充规定,补充协议和备忘录与本合同具有同等的法律效力。</w:t>
      </w:r>
    </w:p>
    <w:p w14:paraId="439C692F">
      <w:pPr>
        <w:keepNext w:val="0"/>
        <w:keepLines w:val="0"/>
        <w:pageBreakBefore w:val="0"/>
        <w:widowControl w:val="0"/>
        <w:shd w:val="clear"/>
        <w:kinsoku/>
        <w:wordWrap/>
        <w:overflowPunct/>
        <w:topLinePunct w:val="0"/>
        <w:autoSpaceDE w:val="0"/>
        <w:autoSpaceDN w:val="0"/>
        <w:bidi w:val="0"/>
        <w:adjustRightInd/>
        <w:snapToGrid w:val="0"/>
        <w:spacing w:line="360" w:lineRule="auto"/>
        <w:ind w:left="0" w:lef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5、本合同自双方法定代表人或授权代表人签字并加盖公章或合同专用章之日起生效。如双方签署日期不一致的，以后签署的日期为准。</w:t>
      </w:r>
    </w:p>
    <w:p w14:paraId="0E3DFCC3">
      <w:pPr>
        <w:keepNext w:val="0"/>
        <w:keepLines w:val="0"/>
        <w:pageBreakBefore w:val="0"/>
        <w:widowControl w:val="0"/>
        <w:shd w:val="clear"/>
        <w:kinsoku/>
        <w:wordWrap/>
        <w:overflowPunct/>
        <w:topLinePunct w:val="0"/>
        <w:autoSpaceDE w:val="0"/>
        <w:autoSpaceDN w:val="0"/>
        <w:bidi w:val="0"/>
        <w:adjustRightInd/>
        <w:snapToGrid w:val="0"/>
        <w:spacing w:line="360" w:lineRule="auto"/>
        <w:ind w:left="0" w:lef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6、双方确认以电子邮件方式开展日常业务联系，甲方指定业务联系人为</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，联系电子邮箱：</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；乙方指定业务联系人为</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，联系电子邮箱：</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；任何一方联系人或联系邮箱发生变更的，应书面通知另一方，否则视为未变更。</w:t>
      </w:r>
    </w:p>
    <w:p w14:paraId="1FD6401B">
      <w:pPr>
        <w:keepNext w:val="0"/>
        <w:keepLines w:val="0"/>
        <w:pageBreakBefore w:val="0"/>
        <w:widowControl w:val="0"/>
        <w:shd w:val="clear"/>
        <w:kinsoku/>
        <w:wordWrap/>
        <w:overflowPunct/>
        <w:topLinePunct w:val="0"/>
        <w:autoSpaceDE w:val="0"/>
        <w:autoSpaceDN w:val="0"/>
        <w:bidi w:val="0"/>
        <w:adjustRightInd/>
        <w:snapToGrid w:val="0"/>
        <w:spacing w:line="360" w:lineRule="auto"/>
        <w:ind w:left="0" w:lef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（以下无正文）</w:t>
      </w:r>
    </w:p>
    <w:p w14:paraId="76262397">
      <w:pPr>
        <w:rPr>
          <w:rFonts w:hint="eastAsia"/>
          <w:color w:val="auto"/>
          <w:highlight w:val="none"/>
          <w:lang w:eastAsia="zh-CN"/>
        </w:rPr>
      </w:pPr>
    </w:p>
    <w:tbl>
      <w:tblPr>
        <w:tblStyle w:val="5"/>
        <w:tblW w:w="0" w:type="auto"/>
        <w:jc w:val="center"/>
        <w:tblLayout w:type="fixed"/>
        <w:tblCellMar>
          <w:top w:w="0" w:type="dxa"/>
          <w:left w:w="108" w:type="dxa"/>
          <w:bottom w:w="0" w:type="dxa"/>
          <w:right w:w="108" w:type="dxa"/>
        </w:tblCellMar>
      </w:tblPr>
      <w:tblGrid>
        <w:gridCol w:w="4543"/>
        <w:gridCol w:w="4202"/>
      </w:tblGrid>
      <w:tr w14:paraId="07118640">
        <w:tblPrEx>
          <w:tblCellMar>
            <w:top w:w="0" w:type="dxa"/>
            <w:left w:w="108" w:type="dxa"/>
            <w:bottom w:w="0" w:type="dxa"/>
            <w:right w:w="108" w:type="dxa"/>
          </w:tblCellMar>
        </w:tblPrEx>
        <w:trPr>
          <w:trHeight w:val="567" w:hRule="exact"/>
          <w:jc w:val="center"/>
        </w:trPr>
        <w:tc>
          <w:tcPr>
            <w:tcW w:w="4543" w:type="dxa"/>
            <w:vAlign w:val="center"/>
          </w:tcPr>
          <w:p w14:paraId="29542EE2">
            <w:pPr>
              <w:keepNext w:val="0"/>
              <w:keepLines w:val="0"/>
              <w:pageBreakBefore w:val="0"/>
              <w:wordWrap/>
              <w:overflowPunct/>
              <w:topLinePunct w:val="0"/>
              <w:bidi w:val="0"/>
              <w:snapToGrid w:val="0"/>
              <w:spacing w:line="360" w:lineRule="auto"/>
              <w:ind w:left="0" w:leftChars="0" w:firstLine="0" w:firstLineChars="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甲  方</w:t>
            </w:r>
            <w:r>
              <w:rPr>
                <w:rFonts w:hint="eastAsia" w:cs="宋体"/>
                <w:color w:val="auto"/>
                <w:sz w:val="21"/>
                <w:szCs w:val="21"/>
                <w:highlight w:val="none"/>
                <w:lang w:eastAsia="zh-CN"/>
              </w:rPr>
              <w:t>：西安市未央区城市管理和综合执法局</w:t>
            </w:r>
          </w:p>
        </w:tc>
        <w:tc>
          <w:tcPr>
            <w:tcW w:w="4202" w:type="dxa"/>
            <w:vAlign w:val="center"/>
          </w:tcPr>
          <w:p w14:paraId="38DD5594">
            <w:pPr>
              <w:keepNext w:val="0"/>
              <w:keepLines w:val="0"/>
              <w:pageBreakBefore w:val="0"/>
              <w:wordWrap/>
              <w:overflowPunct/>
              <w:topLinePunct w:val="0"/>
              <w:bidi w:val="0"/>
              <w:snapToGrid w:val="0"/>
              <w:spacing w:line="360" w:lineRule="auto"/>
              <w:ind w:left="0" w:leftChars="0" w:firstLine="0" w:firstLineChars="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乙  方</w:t>
            </w:r>
            <w:r>
              <w:rPr>
                <w:rFonts w:hint="eastAsia" w:cs="宋体"/>
                <w:color w:val="auto"/>
                <w:sz w:val="21"/>
                <w:szCs w:val="21"/>
                <w:highlight w:val="none"/>
                <w:lang w:eastAsia="zh-CN"/>
              </w:rPr>
              <w:t>：</w:t>
            </w:r>
          </w:p>
        </w:tc>
      </w:tr>
      <w:tr w14:paraId="0F1E4766">
        <w:tblPrEx>
          <w:tblCellMar>
            <w:top w:w="0" w:type="dxa"/>
            <w:left w:w="108" w:type="dxa"/>
            <w:bottom w:w="0" w:type="dxa"/>
            <w:right w:w="108" w:type="dxa"/>
          </w:tblCellMar>
        </w:tblPrEx>
        <w:trPr>
          <w:trHeight w:val="567" w:hRule="exact"/>
          <w:jc w:val="center"/>
        </w:trPr>
        <w:tc>
          <w:tcPr>
            <w:tcW w:w="4543" w:type="dxa"/>
            <w:vAlign w:val="center"/>
          </w:tcPr>
          <w:p w14:paraId="5511F09C">
            <w:pPr>
              <w:keepNext w:val="0"/>
              <w:keepLines w:val="0"/>
              <w:pageBreakBefore w:val="0"/>
              <w:wordWrap/>
              <w:overflowPunct/>
              <w:topLinePunct w:val="0"/>
              <w:bidi w:val="0"/>
              <w:snapToGrid w:val="0"/>
              <w:spacing w:line="360" w:lineRule="auto"/>
              <w:ind w:left="0" w:leftChars="0" w:firstLine="0" w:firstLineChars="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（盖章）</w:t>
            </w:r>
          </w:p>
        </w:tc>
        <w:tc>
          <w:tcPr>
            <w:tcW w:w="4202" w:type="dxa"/>
            <w:vAlign w:val="center"/>
          </w:tcPr>
          <w:p w14:paraId="7F656B87">
            <w:pPr>
              <w:keepNext w:val="0"/>
              <w:keepLines w:val="0"/>
              <w:pageBreakBefore w:val="0"/>
              <w:wordWrap/>
              <w:overflowPunct/>
              <w:topLinePunct w:val="0"/>
              <w:bidi w:val="0"/>
              <w:snapToGrid w:val="0"/>
              <w:spacing w:line="360" w:lineRule="auto"/>
              <w:ind w:left="0" w:leftChars="0" w:firstLine="0" w:firstLineChars="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（盖章）</w:t>
            </w:r>
          </w:p>
        </w:tc>
      </w:tr>
      <w:tr w14:paraId="2DF905C4">
        <w:tblPrEx>
          <w:tblCellMar>
            <w:top w:w="0" w:type="dxa"/>
            <w:left w:w="108" w:type="dxa"/>
            <w:bottom w:w="0" w:type="dxa"/>
            <w:right w:w="108" w:type="dxa"/>
          </w:tblCellMar>
        </w:tblPrEx>
        <w:trPr>
          <w:trHeight w:val="567" w:hRule="exact"/>
          <w:jc w:val="center"/>
        </w:trPr>
        <w:tc>
          <w:tcPr>
            <w:tcW w:w="4543" w:type="dxa"/>
            <w:vAlign w:val="center"/>
          </w:tcPr>
          <w:p w14:paraId="2CD80ECE">
            <w:pPr>
              <w:keepNext w:val="0"/>
              <w:keepLines w:val="0"/>
              <w:pageBreakBefore w:val="0"/>
              <w:wordWrap/>
              <w:overflowPunct/>
              <w:topLinePunct w:val="0"/>
              <w:bidi w:val="0"/>
              <w:snapToGrid w:val="0"/>
              <w:spacing w:line="360" w:lineRule="auto"/>
              <w:ind w:left="0" w:leftChars="0" w:firstLine="0" w:firstLineChars="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地址： </w:t>
            </w:r>
          </w:p>
        </w:tc>
        <w:tc>
          <w:tcPr>
            <w:tcW w:w="4202" w:type="dxa"/>
            <w:vAlign w:val="center"/>
          </w:tcPr>
          <w:p w14:paraId="6FD37E0E">
            <w:pPr>
              <w:keepNext w:val="0"/>
              <w:keepLines w:val="0"/>
              <w:pageBreakBefore w:val="0"/>
              <w:wordWrap/>
              <w:overflowPunct/>
              <w:topLinePunct w:val="0"/>
              <w:bidi w:val="0"/>
              <w:snapToGrid w:val="0"/>
              <w:spacing w:line="360" w:lineRule="auto"/>
              <w:ind w:left="0" w:leftChars="0" w:firstLine="0" w:firstLineChars="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地址：</w:t>
            </w:r>
          </w:p>
        </w:tc>
      </w:tr>
      <w:tr w14:paraId="0F481D79">
        <w:tblPrEx>
          <w:tblCellMar>
            <w:top w:w="0" w:type="dxa"/>
            <w:left w:w="108" w:type="dxa"/>
            <w:bottom w:w="0" w:type="dxa"/>
            <w:right w:w="108" w:type="dxa"/>
          </w:tblCellMar>
        </w:tblPrEx>
        <w:trPr>
          <w:trHeight w:val="567" w:hRule="exact"/>
          <w:jc w:val="center"/>
        </w:trPr>
        <w:tc>
          <w:tcPr>
            <w:tcW w:w="4543" w:type="dxa"/>
            <w:vAlign w:val="center"/>
          </w:tcPr>
          <w:p w14:paraId="1D704193">
            <w:pPr>
              <w:keepNext w:val="0"/>
              <w:keepLines w:val="0"/>
              <w:pageBreakBefore w:val="0"/>
              <w:wordWrap/>
              <w:overflowPunct/>
              <w:topLinePunct w:val="0"/>
              <w:bidi w:val="0"/>
              <w:snapToGrid w:val="0"/>
              <w:spacing w:line="360" w:lineRule="auto"/>
              <w:ind w:left="0" w:leftChars="0" w:firstLine="0" w:firstLineChars="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邮编：</w:t>
            </w:r>
          </w:p>
        </w:tc>
        <w:tc>
          <w:tcPr>
            <w:tcW w:w="4202" w:type="dxa"/>
            <w:vAlign w:val="center"/>
          </w:tcPr>
          <w:p w14:paraId="0657963B">
            <w:pPr>
              <w:keepNext w:val="0"/>
              <w:keepLines w:val="0"/>
              <w:pageBreakBefore w:val="0"/>
              <w:wordWrap/>
              <w:overflowPunct/>
              <w:topLinePunct w:val="0"/>
              <w:bidi w:val="0"/>
              <w:snapToGrid w:val="0"/>
              <w:spacing w:line="360" w:lineRule="auto"/>
              <w:ind w:left="0" w:leftChars="0" w:firstLine="0" w:firstLineChars="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邮编：</w:t>
            </w:r>
          </w:p>
        </w:tc>
      </w:tr>
      <w:tr w14:paraId="3729EBA2">
        <w:tblPrEx>
          <w:tblCellMar>
            <w:top w:w="0" w:type="dxa"/>
            <w:left w:w="108" w:type="dxa"/>
            <w:bottom w:w="0" w:type="dxa"/>
            <w:right w:w="108" w:type="dxa"/>
          </w:tblCellMar>
        </w:tblPrEx>
        <w:trPr>
          <w:trHeight w:val="567" w:hRule="exact"/>
          <w:jc w:val="center"/>
        </w:trPr>
        <w:tc>
          <w:tcPr>
            <w:tcW w:w="4543" w:type="dxa"/>
            <w:vAlign w:val="center"/>
          </w:tcPr>
          <w:p w14:paraId="1FBFCCB5">
            <w:pPr>
              <w:keepNext w:val="0"/>
              <w:keepLines w:val="0"/>
              <w:pageBreakBefore w:val="0"/>
              <w:wordWrap/>
              <w:overflowPunct/>
              <w:topLinePunct w:val="0"/>
              <w:bidi w:val="0"/>
              <w:snapToGrid w:val="0"/>
              <w:spacing w:line="360" w:lineRule="auto"/>
              <w:ind w:left="0" w:leftChars="0" w:firstLine="0" w:firstLineChars="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法定代表人： </w:t>
            </w:r>
          </w:p>
        </w:tc>
        <w:tc>
          <w:tcPr>
            <w:tcW w:w="4202" w:type="dxa"/>
            <w:vAlign w:val="center"/>
          </w:tcPr>
          <w:p w14:paraId="5C7E7349">
            <w:pPr>
              <w:keepNext w:val="0"/>
              <w:keepLines w:val="0"/>
              <w:pageBreakBefore w:val="0"/>
              <w:wordWrap/>
              <w:overflowPunct/>
              <w:topLinePunct w:val="0"/>
              <w:bidi w:val="0"/>
              <w:snapToGrid w:val="0"/>
              <w:spacing w:line="360" w:lineRule="auto"/>
              <w:ind w:left="0" w:leftChars="0" w:firstLine="0" w:firstLineChars="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法定代表人：</w:t>
            </w:r>
          </w:p>
        </w:tc>
      </w:tr>
      <w:tr w14:paraId="4D95E24E">
        <w:tblPrEx>
          <w:tblCellMar>
            <w:top w:w="0" w:type="dxa"/>
            <w:left w:w="108" w:type="dxa"/>
            <w:bottom w:w="0" w:type="dxa"/>
            <w:right w:w="108" w:type="dxa"/>
          </w:tblCellMar>
        </w:tblPrEx>
        <w:trPr>
          <w:trHeight w:val="567" w:hRule="exact"/>
          <w:jc w:val="center"/>
        </w:trPr>
        <w:tc>
          <w:tcPr>
            <w:tcW w:w="4543" w:type="dxa"/>
            <w:vAlign w:val="center"/>
          </w:tcPr>
          <w:p w14:paraId="5C5F2110">
            <w:pPr>
              <w:keepNext w:val="0"/>
              <w:keepLines w:val="0"/>
              <w:pageBreakBefore w:val="0"/>
              <w:wordWrap/>
              <w:overflowPunct/>
              <w:topLinePunct w:val="0"/>
              <w:bidi w:val="0"/>
              <w:snapToGrid w:val="0"/>
              <w:spacing w:line="360" w:lineRule="auto"/>
              <w:ind w:left="0" w:leftChars="0" w:firstLine="0" w:firstLineChars="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被授权代表：</w:t>
            </w:r>
          </w:p>
        </w:tc>
        <w:tc>
          <w:tcPr>
            <w:tcW w:w="4202" w:type="dxa"/>
            <w:vAlign w:val="center"/>
          </w:tcPr>
          <w:p w14:paraId="49AA410B">
            <w:pPr>
              <w:keepNext w:val="0"/>
              <w:keepLines w:val="0"/>
              <w:pageBreakBefore w:val="0"/>
              <w:wordWrap/>
              <w:overflowPunct/>
              <w:topLinePunct w:val="0"/>
              <w:bidi w:val="0"/>
              <w:snapToGrid w:val="0"/>
              <w:spacing w:line="360" w:lineRule="auto"/>
              <w:ind w:left="0" w:leftChars="0" w:firstLine="0" w:firstLineChars="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被授权代表：</w:t>
            </w:r>
          </w:p>
        </w:tc>
      </w:tr>
      <w:tr w14:paraId="3E84EA49">
        <w:tblPrEx>
          <w:tblCellMar>
            <w:top w:w="0" w:type="dxa"/>
            <w:left w:w="108" w:type="dxa"/>
            <w:bottom w:w="0" w:type="dxa"/>
            <w:right w:w="108" w:type="dxa"/>
          </w:tblCellMar>
        </w:tblPrEx>
        <w:trPr>
          <w:trHeight w:val="567" w:hRule="exact"/>
          <w:jc w:val="center"/>
        </w:trPr>
        <w:tc>
          <w:tcPr>
            <w:tcW w:w="4543" w:type="dxa"/>
            <w:vAlign w:val="center"/>
          </w:tcPr>
          <w:p w14:paraId="4A1B073B">
            <w:pPr>
              <w:keepNext w:val="0"/>
              <w:keepLines w:val="0"/>
              <w:pageBreakBefore w:val="0"/>
              <w:wordWrap/>
              <w:overflowPunct/>
              <w:topLinePunct w:val="0"/>
              <w:bidi w:val="0"/>
              <w:snapToGrid w:val="0"/>
              <w:spacing w:line="360" w:lineRule="auto"/>
              <w:ind w:left="0" w:leftChars="0" w:firstLine="0" w:firstLineChars="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电话：</w:t>
            </w:r>
          </w:p>
        </w:tc>
        <w:tc>
          <w:tcPr>
            <w:tcW w:w="4202" w:type="dxa"/>
            <w:vAlign w:val="center"/>
          </w:tcPr>
          <w:p w14:paraId="72BD7C34">
            <w:pPr>
              <w:keepNext w:val="0"/>
              <w:keepLines w:val="0"/>
              <w:pageBreakBefore w:val="0"/>
              <w:wordWrap/>
              <w:overflowPunct/>
              <w:topLinePunct w:val="0"/>
              <w:bidi w:val="0"/>
              <w:snapToGrid w:val="0"/>
              <w:spacing w:line="360" w:lineRule="auto"/>
              <w:ind w:left="0" w:leftChars="0" w:firstLine="0" w:firstLineChars="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电话：</w:t>
            </w:r>
          </w:p>
        </w:tc>
      </w:tr>
      <w:tr w14:paraId="0975D55B">
        <w:tblPrEx>
          <w:tblCellMar>
            <w:top w:w="0" w:type="dxa"/>
            <w:left w:w="108" w:type="dxa"/>
            <w:bottom w:w="0" w:type="dxa"/>
            <w:right w:w="108" w:type="dxa"/>
          </w:tblCellMar>
        </w:tblPrEx>
        <w:trPr>
          <w:trHeight w:val="567" w:hRule="exact"/>
          <w:jc w:val="center"/>
        </w:trPr>
        <w:tc>
          <w:tcPr>
            <w:tcW w:w="4543" w:type="dxa"/>
            <w:vAlign w:val="center"/>
          </w:tcPr>
          <w:p w14:paraId="40E8533E">
            <w:pPr>
              <w:keepNext w:val="0"/>
              <w:keepLines w:val="0"/>
              <w:pageBreakBefore w:val="0"/>
              <w:wordWrap/>
              <w:overflowPunct/>
              <w:topLinePunct w:val="0"/>
              <w:bidi w:val="0"/>
              <w:snapToGrid w:val="0"/>
              <w:spacing w:line="360" w:lineRule="auto"/>
              <w:ind w:left="0" w:leftChars="0" w:firstLine="0" w:firstLineChars="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传真：</w:t>
            </w:r>
          </w:p>
        </w:tc>
        <w:tc>
          <w:tcPr>
            <w:tcW w:w="4202" w:type="dxa"/>
            <w:vAlign w:val="center"/>
          </w:tcPr>
          <w:p w14:paraId="6CE33153">
            <w:pPr>
              <w:keepNext w:val="0"/>
              <w:keepLines w:val="0"/>
              <w:pageBreakBefore w:val="0"/>
              <w:wordWrap/>
              <w:overflowPunct/>
              <w:topLinePunct w:val="0"/>
              <w:bidi w:val="0"/>
              <w:snapToGrid w:val="0"/>
              <w:spacing w:line="360" w:lineRule="auto"/>
              <w:ind w:left="0" w:leftChars="0" w:firstLine="0" w:firstLineChars="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传真：</w:t>
            </w:r>
          </w:p>
        </w:tc>
      </w:tr>
      <w:tr w14:paraId="6BBBE365">
        <w:tblPrEx>
          <w:tblCellMar>
            <w:top w:w="0" w:type="dxa"/>
            <w:left w:w="108" w:type="dxa"/>
            <w:bottom w:w="0" w:type="dxa"/>
            <w:right w:w="108" w:type="dxa"/>
          </w:tblCellMar>
        </w:tblPrEx>
        <w:trPr>
          <w:trHeight w:val="567" w:hRule="exact"/>
          <w:jc w:val="center"/>
        </w:trPr>
        <w:tc>
          <w:tcPr>
            <w:tcW w:w="4543" w:type="dxa"/>
            <w:vAlign w:val="center"/>
          </w:tcPr>
          <w:p w14:paraId="7EB66AF2">
            <w:pPr>
              <w:keepNext w:val="0"/>
              <w:keepLines w:val="0"/>
              <w:pageBreakBefore w:val="0"/>
              <w:wordWrap/>
              <w:overflowPunct/>
              <w:topLinePunct w:val="0"/>
              <w:bidi w:val="0"/>
              <w:snapToGrid w:val="0"/>
              <w:spacing w:line="360" w:lineRule="auto"/>
              <w:ind w:left="0" w:leftChars="0" w:firstLine="0" w:firstLineChars="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开户银行：</w:t>
            </w:r>
          </w:p>
        </w:tc>
        <w:tc>
          <w:tcPr>
            <w:tcW w:w="4202" w:type="dxa"/>
            <w:vAlign w:val="center"/>
          </w:tcPr>
          <w:p w14:paraId="4FA0ABC2">
            <w:pPr>
              <w:keepNext w:val="0"/>
              <w:keepLines w:val="0"/>
              <w:pageBreakBefore w:val="0"/>
              <w:wordWrap/>
              <w:overflowPunct/>
              <w:topLinePunct w:val="0"/>
              <w:bidi w:val="0"/>
              <w:snapToGrid w:val="0"/>
              <w:spacing w:line="360" w:lineRule="auto"/>
              <w:ind w:left="0" w:leftChars="0" w:firstLine="0" w:firstLineChars="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开户银行：</w:t>
            </w:r>
          </w:p>
        </w:tc>
      </w:tr>
      <w:tr w14:paraId="571E306D">
        <w:tblPrEx>
          <w:tblCellMar>
            <w:top w:w="0" w:type="dxa"/>
            <w:left w:w="108" w:type="dxa"/>
            <w:bottom w:w="0" w:type="dxa"/>
            <w:right w:w="108" w:type="dxa"/>
          </w:tblCellMar>
        </w:tblPrEx>
        <w:trPr>
          <w:trHeight w:val="567" w:hRule="exact"/>
          <w:jc w:val="center"/>
        </w:trPr>
        <w:tc>
          <w:tcPr>
            <w:tcW w:w="4543" w:type="dxa"/>
            <w:vAlign w:val="center"/>
          </w:tcPr>
          <w:p w14:paraId="1A2F35C1">
            <w:pPr>
              <w:keepNext w:val="0"/>
              <w:keepLines w:val="0"/>
              <w:pageBreakBefore w:val="0"/>
              <w:wordWrap/>
              <w:overflowPunct/>
              <w:topLinePunct w:val="0"/>
              <w:bidi w:val="0"/>
              <w:snapToGrid w:val="0"/>
              <w:spacing w:line="360" w:lineRule="auto"/>
              <w:ind w:left="0" w:leftChars="0" w:firstLine="0" w:firstLineChars="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日期：</w:t>
            </w:r>
          </w:p>
        </w:tc>
        <w:tc>
          <w:tcPr>
            <w:tcW w:w="4202" w:type="dxa"/>
            <w:vAlign w:val="center"/>
          </w:tcPr>
          <w:p w14:paraId="33EB8F26">
            <w:pPr>
              <w:keepNext w:val="0"/>
              <w:keepLines w:val="0"/>
              <w:pageBreakBefore w:val="0"/>
              <w:wordWrap/>
              <w:overflowPunct/>
              <w:topLinePunct w:val="0"/>
              <w:bidi w:val="0"/>
              <w:snapToGrid w:val="0"/>
              <w:spacing w:line="360" w:lineRule="auto"/>
              <w:ind w:left="0" w:leftChars="0" w:firstLine="0" w:firstLineChars="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日期：</w:t>
            </w:r>
          </w:p>
        </w:tc>
      </w:tr>
    </w:tbl>
    <w:p w14:paraId="56406A9C">
      <w:pPr>
        <w:keepNext w:val="0"/>
        <w:keepLines w:val="0"/>
        <w:pageBreakBefore w:val="0"/>
        <w:wordWrap/>
        <w:overflowPunct/>
        <w:topLinePunct w:val="0"/>
        <w:bidi w:val="0"/>
        <w:snapToGrid w:val="0"/>
        <w:spacing w:line="360" w:lineRule="auto"/>
        <w:rPr>
          <w:rFonts w:hint="eastAsia" w:ascii="宋体" w:hAnsi="宋体" w:eastAsia="宋体" w:cs="宋体"/>
          <w:color w:val="auto"/>
          <w:sz w:val="21"/>
          <w:szCs w:val="21"/>
          <w:highlight w:val="none"/>
        </w:rPr>
      </w:pPr>
    </w:p>
    <w:p w14:paraId="12D8D6AB">
      <w:pPr>
        <w:pStyle w:val="7"/>
        <w:keepNext w:val="0"/>
        <w:keepLines w:val="0"/>
        <w:pageBreakBefore w:val="0"/>
        <w:widowControl w:val="0"/>
        <w:shd w:val="clear"/>
        <w:kinsoku/>
        <w:wordWrap/>
        <w:overflowPunct/>
        <w:topLinePunct w:val="0"/>
        <w:bidi w:val="0"/>
        <w:snapToGrid w:val="0"/>
        <w:spacing w:line="360" w:lineRule="auto"/>
        <w:rPr>
          <w:rFonts w:hint="eastAsia" w:ascii="宋体" w:hAnsi="宋体" w:eastAsia="宋体" w:cs="宋体"/>
          <w:color w:val="auto"/>
          <w:highlight w:val="none"/>
          <w:lang w:val="en-US" w:eastAsia="zh-Hans"/>
        </w:rPr>
      </w:pPr>
    </w:p>
    <w:p w14:paraId="30E5BC14">
      <w:bookmarkStart w:id="0" w:name="_GoBack"/>
      <w:bookmarkEnd w:id="0"/>
    </w:p>
    <w:sectPr>
      <w:footerReference r:id="rId3" w:type="default"/>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8"/>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27C7D59">
    <w:pPr>
      <w:pStyle w:val="4"/>
      <w:rPr>
        <w:rFonts w:hint="eastAsia" w:ascii="仿宋_GB2312" w:eastAsia="仿宋_GB2312"/>
        <w:sz w:val="21"/>
        <w:szCs w:val="21"/>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96275EF"/>
    <w:rsid w:val="1BAE5F23"/>
    <w:rsid w:val="1DD846CA"/>
    <w:rsid w:val="3B8D689A"/>
    <w:rsid w:val="796275E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pPr>
    <w:rPr>
      <w:rFonts w:ascii="宋体" w:hAnsi="宋体" w:eastAsia="宋体" w:cs="宋体"/>
      <w:sz w:val="22"/>
      <w:szCs w:val="22"/>
      <w:lang w:val="en-US" w:eastAsia="en-US" w:bidi="ar-SA"/>
    </w:rPr>
  </w:style>
  <w:style w:type="paragraph" w:styleId="2">
    <w:name w:val="heading 1"/>
    <w:basedOn w:val="1"/>
    <w:next w:val="1"/>
    <w:qFormat/>
    <w:uiPriority w:val="0"/>
    <w:pPr>
      <w:keepNext/>
      <w:keepLines/>
      <w:spacing w:beforeLines="0" w:afterLines="0" w:line="480" w:lineRule="auto"/>
      <w:jc w:val="center"/>
      <w:outlineLvl w:val="0"/>
    </w:pPr>
    <w:rPr>
      <w:rFonts w:ascii="宋体" w:hAnsi="宋体" w:eastAsia="宋体" w:cs="宋体"/>
      <w:b/>
      <w:bCs/>
      <w:snapToGrid w:val="0"/>
      <w:color w:val="000000"/>
      <w:spacing w:val="-4"/>
      <w:kern w:val="44"/>
      <w:sz w:val="36"/>
      <w:szCs w:val="30"/>
      <w:lang w:eastAsia="en-US"/>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Body Text"/>
    <w:basedOn w:val="1"/>
    <w:next w:val="1"/>
    <w:qFormat/>
    <w:uiPriority w:val="1"/>
    <w:pPr>
      <w:ind w:left="490"/>
    </w:pPr>
    <w:rPr>
      <w:sz w:val="19"/>
      <w:szCs w:val="19"/>
    </w:rPr>
  </w:style>
  <w:style w:type="paragraph" w:styleId="4">
    <w:name w:val="footer"/>
    <w:basedOn w:val="1"/>
    <w:qFormat/>
    <w:uiPriority w:val="0"/>
    <w:pPr>
      <w:tabs>
        <w:tab w:val="center" w:pos="4153"/>
        <w:tab w:val="right" w:pos="8306"/>
      </w:tabs>
      <w:snapToGrid w:val="0"/>
      <w:jc w:val="left"/>
    </w:pPr>
    <w:rPr>
      <w:sz w:val="18"/>
    </w:rPr>
  </w:style>
  <w:style w:type="paragraph" w:customStyle="1" w:styleId="7">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0</Words>
  <Characters>0</Characters>
  <Lines>0</Lines>
  <Paragraphs>0</Paragraphs>
  <TotalTime>0</TotalTime>
  <ScaleCrop>false</ScaleCrop>
  <LinksUpToDate>false</LinksUpToDate>
  <CharactersWithSpaces>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2025-07-03T03:12:00Z</dcterms:created>
  <dc:creator>ZBB</dc:creator>
  <cp:lastModifiedBy>ZBB</cp:lastModifiedBy>
  <dcterms:modified xsi:type="dcterms:W3CDTF">2025-07-03T03:13:35Z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5A660D3A65234119887D594FC21A50D1_11</vt:lpwstr>
  </property>
  <property fmtid="{D5CDD505-2E9C-101B-9397-08002B2CF9AE}" pid="4" name="KSOTemplateDocerSaveRecord">
    <vt:lpwstr>eyJoZGlkIjoiMzVmMmY1MmRiMzBjZDQxYzkyYzYxYWIwYTJhNzFmMDMiLCJ1c2VySWQiOiIyNjQ2NDU1NDQifQ==</vt:lpwstr>
  </property>
</Properties>
</file>