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版本号：SXZHZB2025-ZC016-CS20250703001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数字化城市管理监督指挥系统PDA城管通终端租赁及系统服务项目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SXZHZB2025-ZC016-CS</w:t>
      </w:r>
      <w:r>
        <w:br/>
      </w:r>
      <w:r>
        <w:br/>
      </w:r>
      <w:r>
        <w:br/>
      </w:r>
    </w:p>
    <w:p>
      <w:pPr>
        <w:pStyle w:val="null3"/>
        <w:jc w:val="center"/>
        <w:outlineLvl w:val="2"/>
      </w:pPr>
      <w:r>
        <w:rPr>
          <w:rFonts w:ascii="仿宋_GB2312" w:hAnsi="仿宋_GB2312" w:cs="仿宋_GB2312" w:eastAsia="仿宋_GB2312"/>
          <w:sz w:val="28"/>
          <w:b/>
        </w:rPr>
        <w:t>西安市未央区城市管理和综合执法局</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西安市未央区城市管理和综合执法局</w:t>
      </w:r>
      <w:r>
        <w:rPr>
          <w:rFonts w:ascii="仿宋_GB2312" w:hAnsi="仿宋_GB2312" w:cs="仿宋_GB2312" w:eastAsia="仿宋_GB2312"/>
        </w:rPr>
        <w:t>委托，拟对</w:t>
      </w:r>
      <w:r>
        <w:rPr>
          <w:rFonts w:ascii="仿宋_GB2312" w:hAnsi="仿宋_GB2312" w:cs="仿宋_GB2312" w:eastAsia="仿宋_GB2312"/>
        </w:rPr>
        <w:t>数字化城市管理监督指挥系统PDA城管通终端租赁及系统服务项目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SXZHZB2025-ZC016-CS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数字化城市管理监督指挥系统PDA城管通终端租赁及系统服务项目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城市管理和综合执法局关于2025-2027年度数字化城市管理监督指挥系统PDA城管通终端租赁及系统服务项目，按照住建部要求的数字化城市管理平台标准，所有案件的报送、核实、核查环节都需要通过PDA城管通终端完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开标前三个月内任意一个月在本单位的社保缴纳证明）（法定代表人直接参加磋商，须提供法定代表人身份证明）；</w:t>
      </w:r>
    </w:p>
    <w:p>
      <w:pPr>
        <w:pStyle w:val="null3"/>
      </w:pPr>
      <w:r>
        <w:rPr>
          <w:rFonts w:ascii="仿宋_GB2312" w:hAnsi="仿宋_GB2312" w:cs="仿宋_GB2312" w:eastAsia="仿宋_GB2312"/>
        </w:rPr>
        <w:t>2、联合体：本项目不接受联合体磋商。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陕西省西安市未央区连心路51号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029-86116550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采购包1：589,200.00元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西安市未央区城市管理和综合执法局</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城市管理和综合执法局关于2025-2027年度数字化城市管理监督指挥系统PDA城管通终端租赁及系统服务项目，按照住建部要求的数字化城市管理平台标准，所有案件的报送、核实、核查环节都需要通过PDA城管通终端完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589,200.00</w:t>
      </w:r>
    </w:p>
    <w:p>
      <w:pPr>
        <w:pStyle w:val="null3"/>
      </w:pPr>
      <w:r>
        <w:rPr>
          <w:rFonts w:ascii="仿宋_GB2312" w:hAnsi="仿宋_GB2312" w:cs="仿宋_GB2312" w:eastAsia="仿宋_GB2312"/>
        </w:rPr>
        <w:t>采购包最高限价（元）: 589,200.00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终端租赁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589,200.00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标的名称：终端租赁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rPr>
              <w:t>西安市未央区城市管理和综合执法局关于2025-2027年度数字化城市管理监督指挥系统PDA城管通终端租赁及系统服务项目，按照住建部要求的数字化城市管理平台标准，所有案件的报送、核实、核查环节都需要通过PDA城管通终端完成。</w:t>
            </w:r>
          </w:p>
          <w:p>
            <w:pPr>
              <w:pStyle w:val="null3"/>
            </w:pPr>
            <w:r>
              <w:rPr>
                <w:rFonts w:ascii="仿宋_GB2312" w:hAnsi="仿宋_GB2312" w:cs="仿宋_GB2312" w:eastAsia="仿宋_GB2312"/>
              </w:rPr>
              <w:t>该服务需要满足采购方的要求，包括但不限于：</w:t>
            </w:r>
          </w:p>
          <w:p>
            <w:pPr>
              <w:pStyle w:val="null3"/>
            </w:pPr>
            <w:r>
              <w:rPr>
                <w:rFonts w:ascii="仿宋_GB2312" w:hAnsi="仿宋_GB2312" w:cs="仿宋_GB2312" w:eastAsia="仿宋_GB2312"/>
              </w:rPr>
              <w:t>一、服务要求：</w:t>
            </w:r>
          </w:p>
          <w:p>
            <w:pPr>
              <w:pStyle w:val="null3"/>
            </w:pPr>
            <w:r>
              <w:rPr>
                <w:rFonts w:ascii="仿宋_GB2312" w:hAnsi="仿宋_GB2312" w:cs="仿宋_GB2312" w:eastAsia="仿宋_GB2312"/>
              </w:rPr>
              <w:t>1.身份认证与授权：对以移动方式或从分支机构接入内网的远程终端或移动办公终端进行身份识别，确保接入的终端可信和可靠。</w:t>
            </w:r>
          </w:p>
          <w:p>
            <w:pPr>
              <w:pStyle w:val="null3"/>
            </w:pPr>
            <w:r>
              <w:rPr>
                <w:rFonts w:ascii="仿宋_GB2312" w:hAnsi="仿宋_GB2312" w:cs="仿宋_GB2312" w:eastAsia="仿宋_GB2312"/>
              </w:rPr>
              <w:t>2.网络数据安全防护：保障采购人移动终端传输数据安全，不被黑客监听和窃取、信息资产不会被从内部外发，导致内部泄密。</w:t>
            </w:r>
          </w:p>
          <w:p>
            <w:pPr>
              <w:pStyle w:val="null3"/>
            </w:pPr>
            <w:r>
              <w:rPr>
                <w:rFonts w:ascii="仿宋_GB2312" w:hAnsi="仿宋_GB2312" w:cs="仿宋_GB2312" w:eastAsia="仿宋_GB2312"/>
              </w:rPr>
              <w:t>3.终端信息安全管控：避免因通过终端拷贝，网络共享，感染病毒等途径，导致机密信息资产泄密；同时确保用户通过移动设备访问采购人资源时，与采购人相关的信息不会遗留到移动设备，导致信息泄密。</w:t>
            </w:r>
          </w:p>
          <w:p>
            <w:pPr>
              <w:pStyle w:val="null3"/>
            </w:pPr>
            <w:r>
              <w:rPr>
                <w:rFonts w:ascii="仿宋_GB2312" w:hAnsi="仿宋_GB2312" w:cs="仿宋_GB2312" w:eastAsia="仿宋_GB2312"/>
              </w:rPr>
              <w:t>4.泄密事件审计：对泄密安全事件进行审计，追踪溯源，界定责任，并向管理员推送告警。</w:t>
            </w:r>
          </w:p>
          <w:p>
            <w:pPr>
              <w:pStyle w:val="null3"/>
            </w:pPr>
            <w:r>
              <w:rPr>
                <w:rFonts w:ascii="仿宋_GB2312" w:hAnsi="仿宋_GB2312" w:cs="仿宋_GB2312" w:eastAsia="仿宋_GB2312"/>
              </w:rPr>
              <w:t>5.终端安全防护：确保终端安全，避免内部和外部恶意攻击导致业务中断。</w:t>
            </w:r>
          </w:p>
          <w:p>
            <w:pPr>
              <w:pStyle w:val="null3"/>
            </w:pPr>
            <w:r>
              <w:rPr>
                <w:rFonts w:ascii="仿宋_GB2312" w:hAnsi="仿宋_GB2312" w:cs="仿宋_GB2312" w:eastAsia="仿宋_GB2312"/>
              </w:rPr>
              <w:t>6.网络安全防护：确保移动终端不遭受病毒、木马等恶意攻击，保障业务正常运行。</w:t>
            </w:r>
          </w:p>
          <w:p>
            <w:pPr>
              <w:pStyle w:val="null3"/>
            </w:pPr>
            <w:r>
              <w:rPr>
                <w:rFonts w:ascii="仿宋_GB2312" w:hAnsi="仿宋_GB2312" w:cs="仿宋_GB2312" w:eastAsia="仿宋_GB2312"/>
              </w:rPr>
              <w:t>7.应用安全防护：保障终端应用、E-mail应用的安全可靠，防止终端应用被攻击，被篡改；防止邮件网关遭受攻击，进行垃圾邮件过滤，防止邮件钓鱼。</w:t>
            </w:r>
          </w:p>
          <w:p>
            <w:pPr>
              <w:pStyle w:val="null3"/>
            </w:pPr>
            <w:r>
              <w:rPr>
                <w:rFonts w:ascii="仿宋_GB2312" w:hAnsi="仿宋_GB2312" w:cs="仿宋_GB2312" w:eastAsia="仿宋_GB2312"/>
              </w:rPr>
              <w:t>8.信息安全学习：实时推送新发布的国家信息安全相关法律、法规，更新信息安全警示教育信息。</w:t>
            </w:r>
          </w:p>
          <w:p>
            <w:pPr>
              <w:pStyle w:val="null3"/>
            </w:pPr>
            <w:r>
              <w:rPr>
                <w:rFonts w:ascii="仿宋_GB2312" w:hAnsi="仿宋_GB2312" w:cs="仿宋_GB2312" w:eastAsia="仿宋_GB2312"/>
              </w:rPr>
              <w:t>二、PDA城管通终端要求：</w:t>
            </w:r>
          </w:p>
          <w:p>
            <w:pPr>
              <w:pStyle w:val="null3"/>
            </w:pPr>
            <w:r>
              <w:rPr>
                <w:rFonts w:ascii="仿宋_GB2312" w:hAnsi="仿宋_GB2312" w:cs="仿宋_GB2312" w:eastAsia="仿宋_GB2312"/>
              </w:rPr>
              <w:t>通话时长及流量要求：</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数量（台）</w:t>
                  </w:r>
                </w:p>
              </w:tc>
              <w:tc>
                <w:tcPr>
                  <w:tcW w:type="dxa" w:w="511"/>
                </w:tcPr>
                <w:p>
                  <w:pPr>
                    <w:pStyle w:val="null3"/>
                  </w:pPr>
                  <w:r>
                    <w:rPr>
                      <w:rFonts w:ascii="仿宋_GB2312" w:hAnsi="仿宋_GB2312" w:cs="仿宋_GB2312" w:eastAsia="仿宋_GB2312"/>
                    </w:rPr>
                    <w:t>通话时长（分钟）</w:t>
                  </w:r>
                </w:p>
              </w:tc>
              <w:tc>
                <w:tcPr>
                  <w:tcW w:type="dxa" w:w="511"/>
                </w:tcPr>
                <w:p>
                  <w:pPr>
                    <w:pStyle w:val="null3"/>
                  </w:pPr>
                  <w:r>
                    <w:rPr>
                      <w:rFonts w:ascii="仿宋_GB2312" w:hAnsi="仿宋_GB2312" w:cs="仿宋_GB2312" w:eastAsia="仿宋_GB2312"/>
                    </w:rPr>
                    <w:t>流量（G）</w:t>
                  </w:r>
                </w:p>
              </w:tc>
              <w:tc>
                <w:tcPr>
                  <w:tcW w:type="dxa" w:w="511"/>
                </w:tcPr>
                <w:p>
                  <w:pPr>
                    <w:pStyle w:val="null3"/>
                  </w:pPr>
                  <w:r>
                    <w:rPr>
                      <w:rFonts w:ascii="仿宋_GB2312" w:hAnsi="仿宋_GB2312" w:cs="仿宋_GB2312" w:eastAsia="仿宋_GB2312"/>
                    </w:rPr>
                    <w:t>语音（超出）</w:t>
                  </w:r>
                </w:p>
              </w:tc>
              <w:tc>
                <w:tcPr>
                  <w:tcW w:type="dxa" w:w="511"/>
                </w:tcPr>
                <w:p>
                  <w:pPr>
                    <w:pStyle w:val="null3"/>
                  </w:pPr>
                  <w:r>
                    <w:rPr>
                      <w:rFonts w:ascii="仿宋_GB2312" w:hAnsi="仿宋_GB2312" w:cs="仿宋_GB2312" w:eastAsia="仿宋_GB2312"/>
                    </w:rPr>
                    <w:t>流量（超出）</w:t>
                  </w:r>
                </w:p>
              </w:tc>
            </w:tr>
            <w:tr>
              <w:tc>
                <w:tcPr>
                  <w:tcW w:type="dxa" w:w="511"/>
                </w:tcPr>
                <w:p>
                  <w:pPr>
                    <w:pStyle w:val="null3"/>
                  </w:pPr>
                  <w:r>
                    <w:rPr>
                      <w:rFonts w:ascii="仿宋_GB2312" w:hAnsi="仿宋_GB2312" w:cs="仿宋_GB2312" w:eastAsia="仿宋_GB2312"/>
                    </w:rPr>
                    <w:t>57</w:t>
                  </w:r>
                </w:p>
              </w:tc>
              <w:tc>
                <w:tcPr>
                  <w:tcW w:type="dxa" w:w="511"/>
                </w:tcPr>
                <w:p>
                  <w:pPr>
                    <w:pStyle w:val="null3"/>
                  </w:pPr>
                  <w:r>
                    <w:rPr>
                      <w:rFonts w:ascii="仿宋_GB2312" w:hAnsi="仿宋_GB2312" w:cs="仿宋_GB2312" w:eastAsia="仿宋_GB2312"/>
                    </w:rPr>
                    <w:t>≥1000</w:t>
                  </w:r>
                </w:p>
              </w:tc>
              <w:tc>
                <w:tcPr>
                  <w:tcW w:type="dxa" w:w="511"/>
                </w:tcPr>
                <w:p>
                  <w:pPr>
                    <w:pStyle w:val="null3"/>
                  </w:pPr>
                  <w:r>
                    <w:rPr>
                      <w:rFonts w:ascii="仿宋_GB2312" w:hAnsi="仿宋_GB2312" w:cs="仿宋_GB2312" w:eastAsia="仿宋_GB2312"/>
                    </w:rPr>
                    <w:t>≥60</w:t>
                  </w:r>
                </w:p>
              </w:tc>
              <w:tc>
                <w:tcPr>
                  <w:tcW w:type="dxa" w:w="511"/>
                  <w:vMerge w:val="restart"/>
                </w:tcPr>
                <w:p>
                  <w:pPr>
                    <w:pStyle w:val="null3"/>
                  </w:pPr>
                  <w:r>
                    <w:rPr>
                      <w:rFonts w:ascii="仿宋_GB2312" w:hAnsi="仿宋_GB2312" w:cs="仿宋_GB2312" w:eastAsia="仿宋_GB2312"/>
                    </w:rPr>
                    <w:t>语音超出部分≤0.15元/分钟</w:t>
                  </w:r>
                </w:p>
              </w:tc>
              <w:tc>
                <w:tcPr>
                  <w:tcW w:type="dxa" w:w="511"/>
                  <w:vMerge w:val="restart"/>
                </w:tcPr>
                <w:p>
                  <w:pPr>
                    <w:pStyle w:val="null3"/>
                  </w:pPr>
                  <w:r>
                    <w:rPr>
                      <w:rFonts w:ascii="仿宋_GB2312" w:hAnsi="仿宋_GB2312" w:cs="仿宋_GB2312" w:eastAsia="仿宋_GB2312"/>
                    </w:rPr>
                    <w:t>流量超出部分≤0.29元/MB</w:t>
                  </w:r>
                </w:p>
              </w:tc>
            </w:tr>
            <w:tr>
              <w:tc>
                <w:tcPr>
                  <w:tcW w:type="dxa" w:w="511"/>
                </w:tcPr>
                <w:p>
                  <w:pPr>
                    <w:pStyle w:val="null3"/>
                  </w:pPr>
                  <w:r>
                    <w:rPr>
                      <w:rFonts w:ascii="仿宋_GB2312" w:hAnsi="仿宋_GB2312" w:cs="仿宋_GB2312" w:eastAsia="仿宋_GB2312"/>
                    </w:rPr>
                    <w:t>386</w:t>
                  </w:r>
                </w:p>
              </w:tc>
              <w:tc>
                <w:tcPr>
                  <w:tcW w:type="dxa" w:w="511"/>
                </w:tcPr>
                <w:p>
                  <w:pPr>
                    <w:pStyle w:val="null3"/>
                  </w:pPr>
                  <w:r>
                    <w:rPr>
                      <w:rFonts w:ascii="仿宋_GB2312" w:hAnsi="仿宋_GB2312" w:cs="仿宋_GB2312" w:eastAsia="仿宋_GB2312"/>
                    </w:rPr>
                    <w:t>≥500</w:t>
                  </w:r>
                </w:p>
              </w:tc>
              <w:tc>
                <w:tcPr>
                  <w:tcW w:type="dxa" w:w="511"/>
                </w:tcPr>
                <w:p>
                  <w:pPr>
                    <w:pStyle w:val="null3"/>
                  </w:pPr>
                  <w:r>
                    <w:rPr>
                      <w:rFonts w:ascii="仿宋_GB2312" w:hAnsi="仿宋_GB2312" w:cs="仿宋_GB2312" w:eastAsia="仿宋_GB2312"/>
                    </w:rPr>
                    <w:t>≥30</w:t>
                  </w:r>
                </w:p>
              </w:tc>
              <w:tc>
                <w:tcPr>
                  <w:tcW w:type="dxa" w:w="511"/>
                  <w:vMerge/>
                </w:tcPr>
                <w:p/>
              </w:tc>
              <w:tc>
                <w:tcPr>
                  <w:tcW w:type="dxa" w:w="511"/>
                  <w:vMerge/>
                </w:tcPr>
                <w:p/>
              </w:tc>
            </w:tr>
          </w:tbl>
          <w:p>
            <w:pPr>
              <w:pStyle w:val="null3"/>
            </w:pPr>
            <w:r>
              <w:rPr>
                <w:rFonts w:ascii="仿宋_GB2312" w:hAnsi="仿宋_GB2312" w:cs="仿宋_GB2312" w:eastAsia="仿宋_GB2312"/>
              </w:rPr>
              <w:t>1.保持现有资费，上述两个套餐与运营商享受同等服务标准。供应商需提供不低于以上要求的通讯套餐，磋商报价中包含套餐费，不包含超出语音及流量费用。</w:t>
            </w:r>
          </w:p>
          <w:p>
            <w:pPr>
              <w:pStyle w:val="null3"/>
            </w:pPr>
            <w:r>
              <w:rPr>
                <w:rFonts w:ascii="仿宋_GB2312" w:hAnsi="仿宋_GB2312" w:cs="仿宋_GB2312" w:eastAsia="仿宋_GB2312"/>
              </w:rPr>
              <w:t>2.PDA城管通终端的使用需要保证网络安全性，系统安全，需要通过专用VPN网络接入。</w:t>
            </w:r>
          </w:p>
          <w:p>
            <w:pPr>
              <w:pStyle w:val="null3"/>
            </w:pPr>
            <w:r>
              <w:rPr>
                <w:rFonts w:ascii="仿宋_GB2312" w:hAnsi="仿宋_GB2312" w:cs="仿宋_GB2312" w:eastAsia="仿宋_GB2312"/>
              </w:rPr>
              <w:t>3.目前使用的PDA城管通终端号码，且在辖区内对外公布，不便于手机号码批量性更换。</w:t>
            </w:r>
          </w:p>
          <w:p>
            <w:pPr>
              <w:pStyle w:val="null3"/>
            </w:pPr>
            <w:r>
              <w:rPr>
                <w:rFonts w:ascii="仿宋_GB2312" w:hAnsi="仿宋_GB2312" w:cs="仿宋_GB2312" w:eastAsia="仿宋_GB2312"/>
              </w:rPr>
              <w:t>4.提供5G网关及配套流量一套，且流量不限量。</w:t>
            </w:r>
          </w:p>
          <w:p>
            <w:pPr>
              <w:pStyle w:val="null3"/>
            </w:pPr>
            <w:r>
              <w:rPr>
                <w:rFonts w:ascii="仿宋_GB2312" w:hAnsi="仿宋_GB2312" w:cs="仿宋_GB2312" w:eastAsia="仿宋_GB2312"/>
              </w:rPr>
              <w:t>三、租赁设备要求</w:t>
            </w:r>
          </w:p>
          <w:p>
            <w:pPr>
              <w:pStyle w:val="null3"/>
            </w:pPr>
            <w:r>
              <w:rPr>
                <w:rFonts w:ascii="仿宋_GB2312" w:hAnsi="仿宋_GB2312" w:cs="仿宋_GB2312" w:eastAsia="仿宋_GB2312"/>
              </w:rPr>
              <w:t>PDA城管通数量：443部</w:t>
            </w:r>
          </w:p>
          <w:p>
            <w:pPr>
              <w:pStyle w:val="null3"/>
            </w:pPr>
            <w:r>
              <w:rPr>
                <w:rFonts w:ascii="仿宋_GB2312" w:hAnsi="仿宋_GB2312" w:cs="仿宋_GB2312" w:eastAsia="仿宋_GB2312"/>
              </w:rPr>
              <w:t>PDA城管通配置参数：</w:t>
            </w:r>
          </w:p>
          <w:p>
            <w:pPr>
              <w:pStyle w:val="null3"/>
            </w:pPr>
            <w:r>
              <w:rPr>
                <w:rFonts w:ascii="仿宋_GB2312" w:hAnsi="仿宋_GB2312" w:cs="仿宋_GB2312" w:eastAsia="仿宋_GB2312"/>
              </w:rPr>
              <w:t>1、硬件</w:t>
            </w:r>
          </w:p>
          <w:p>
            <w:pPr>
              <w:pStyle w:val="null3"/>
            </w:pPr>
            <w:r>
              <w:rPr>
                <w:rFonts w:ascii="仿宋_GB2312" w:hAnsi="仿宋_GB2312" w:cs="仿宋_GB2312" w:eastAsia="仿宋_GB2312"/>
              </w:rPr>
              <w:t>操作系统MagicOS 9.0（基于Android 15）</w:t>
            </w:r>
          </w:p>
          <w:p>
            <w:pPr>
              <w:pStyle w:val="null3"/>
            </w:pPr>
            <w:r>
              <w:rPr>
                <w:rFonts w:ascii="仿宋_GB2312" w:hAnsi="仿宋_GB2312" w:cs="仿宋_GB2312" w:eastAsia="仿宋_GB2312"/>
              </w:rPr>
              <w:t>用户界面MagicOS 9.0</w:t>
            </w:r>
          </w:p>
          <w:p>
            <w:pPr>
              <w:pStyle w:val="null3"/>
            </w:pPr>
            <w:r>
              <w:rPr>
                <w:rFonts w:ascii="仿宋_GB2312" w:hAnsi="仿宋_GB2312" w:cs="仿宋_GB2312" w:eastAsia="仿宋_GB2312"/>
              </w:rPr>
              <w:t>CPU型号天玑6300</w:t>
            </w:r>
          </w:p>
          <w:p>
            <w:pPr>
              <w:pStyle w:val="null3"/>
            </w:pPr>
            <w:r>
              <w:rPr>
                <w:rFonts w:ascii="仿宋_GB2312" w:hAnsi="仿宋_GB2312" w:cs="仿宋_GB2312" w:eastAsia="仿宋_GB2312"/>
              </w:rPr>
              <w:t>CPU核数八核</w:t>
            </w:r>
          </w:p>
          <w:p>
            <w:pPr>
              <w:pStyle w:val="null3"/>
            </w:pPr>
            <w:r>
              <w:rPr>
                <w:rFonts w:ascii="仿宋_GB2312" w:hAnsi="仿宋_GB2312" w:cs="仿宋_GB2312" w:eastAsia="仿宋_GB2312"/>
              </w:rPr>
              <w:t>CPU频率2xA76 2.4GHz + 6xA55 2.0GHz</w:t>
            </w:r>
          </w:p>
          <w:p>
            <w:pPr>
              <w:pStyle w:val="null3"/>
            </w:pPr>
            <w:r>
              <w:rPr>
                <w:rFonts w:ascii="仿宋_GB2312" w:hAnsi="仿宋_GB2312" w:cs="仿宋_GB2312" w:eastAsia="仿宋_GB2312"/>
              </w:rPr>
              <w:t>GPUG57 MC2</w:t>
            </w:r>
          </w:p>
          <w:p>
            <w:pPr>
              <w:pStyle w:val="null3"/>
            </w:pPr>
            <w:r>
              <w:rPr>
                <w:rFonts w:ascii="仿宋_GB2312" w:hAnsi="仿宋_GB2312" w:cs="仿宋_GB2312" w:eastAsia="仿宋_GB2312"/>
              </w:rPr>
              <w:t>双卡双卡双待</w:t>
            </w:r>
          </w:p>
          <w:p>
            <w:pPr>
              <w:pStyle w:val="null3"/>
            </w:pPr>
            <w:r>
              <w:rPr>
                <w:rFonts w:ascii="仿宋_GB2312" w:hAnsi="仿宋_GB2312" w:cs="仿宋_GB2312" w:eastAsia="仿宋_GB2312"/>
              </w:rPr>
              <w:t>机身尺寸约164*75*8.5mm</w:t>
            </w:r>
          </w:p>
          <w:p>
            <w:pPr>
              <w:pStyle w:val="null3"/>
            </w:pPr>
            <w:r>
              <w:rPr>
                <w:rFonts w:ascii="仿宋_GB2312" w:hAnsi="仿宋_GB2312" w:cs="仿宋_GB2312" w:eastAsia="仿宋_GB2312"/>
              </w:rPr>
              <w:t>机身重量约197克（含电池）</w:t>
            </w:r>
          </w:p>
          <w:p>
            <w:pPr>
              <w:pStyle w:val="null3"/>
            </w:pPr>
            <w:r>
              <w:rPr>
                <w:rFonts w:ascii="仿宋_GB2312" w:hAnsi="仿宋_GB2312" w:cs="仿宋_GB2312" w:eastAsia="仿宋_GB2312"/>
              </w:rPr>
              <w:t>MagicOS功能人脸解锁/应用锁/应用分身/备份与恢复/换机克隆/电子书模式/YOYO建议/指关节截屏/灵动胶囊/熄屏显示</w:t>
            </w:r>
          </w:p>
          <w:p>
            <w:pPr>
              <w:pStyle w:val="null3"/>
            </w:pPr>
            <w:r>
              <w:rPr>
                <w:rFonts w:ascii="仿宋_GB2312" w:hAnsi="仿宋_GB2312" w:cs="仿宋_GB2312" w:eastAsia="仿宋_GB2312"/>
              </w:rPr>
              <w:t>运行内存（RAM）6GB</w:t>
            </w:r>
          </w:p>
          <w:p>
            <w:pPr>
              <w:pStyle w:val="null3"/>
            </w:pPr>
            <w:r>
              <w:rPr>
                <w:rFonts w:ascii="仿宋_GB2312" w:hAnsi="仿宋_GB2312" w:cs="仿宋_GB2312" w:eastAsia="仿宋_GB2312"/>
              </w:rPr>
              <w:t>机身内存（ROM）128GB</w:t>
            </w:r>
          </w:p>
          <w:p>
            <w:pPr>
              <w:pStyle w:val="null3"/>
            </w:pPr>
            <w:r>
              <w:rPr>
                <w:rFonts w:ascii="仿宋_GB2312" w:hAnsi="仿宋_GB2312" w:cs="仿宋_GB2312" w:eastAsia="仿宋_GB2312"/>
              </w:rPr>
              <w:t>电池类型锂离子聚合物电池</w:t>
            </w:r>
          </w:p>
          <w:p>
            <w:pPr>
              <w:pStyle w:val="null3"/>
            </w:pPr>
            <w:r>
              <w:rPr>
                <w:rFonts w:ascii="仿宋_GB2312" w:hAnsi="仿宋_GB2312" w:cs="仿宋_GB2312" w:eastAsia="仿宋_GB2312"/>
              </w:rPr>
              <w:t>电池容量6000mAh（典型值）</w:t>
            </w:r>
          </w:p>
          <w:p>
            <w:pPr>
              <w:pStyle w:val="null3"/>
            </w:pPr>
            <w:r>
              <w:rPr>
                <w:rFonts w:ascii="仿宋_GB2312" w:hAnsi="仿宋_GB2312" w:cs="仿宋_GB2312" w:eastAsia="仿宋_GB2312"/>
              </w:rPr>
              <w:t>备注：电池额定容量为5900mAh</w:t>
            </w:r>
          </w:p>
          <w:p>
            <w:pPr>
              <w:pStyle w:val="null3"/>
            </w:pPr>
            <w:r>
              <w:rPr>
                <w:rFonts w:ascii="仿宋_GB2312" w:hAnsi="仿宋_GB2312" w:cs="仿宋_GB2312" w:eastAsia="仿宋_GB2312"/>
              </w:rPr>
              <w:t>标配充电器标配5V3A</w:t>
            </w:r>
          </w:p>
          <w:p>
            <w:pPr>
              <w:pStyle w:val="null3"/>
            </w:pPr>
            <w:r>
              <w:rPr>
                <w:rFonts w:ascii="仿宋_GB2312" w:hAnsi="仿宋_GB2312" w:cs="仿宋_GB2312" w:eastAsia="仿宋_GB2312"/>
              </w:rPr>
              <w:t>智能充电模式支持</w:t>
            </w:r>
          </w:p>
          <w:p>
            <w:pPr>
              <w:pStyle w:val="null3"/>
            </w:pPr>
            <w:r>
              <w:rPr>
                <w:rFonts w:ascii="仿宋_GB2312" w:hAnsi="仿宋_GB2312" w:cs="仿宋_GB2312" w:eastAsia="仿宋_GB2312"/>
              </w:rPr>
              <w:t>2、屏幕</w:t>
            </w:r>
          </w:p>
          <w:p>
            <w:pPr>
              <w:pStyle w:val="null3"/>
            </w:pPr>
            <w:r>
              <w:rPr>
                <w:rFonts w:ascii="仿宋_GB2312" w:hAnsi="仿宋_GB2312" w:cs="仿宋_GB2312" w:eastAsia="仿宋_GB2312"/>
              </w:rPr>
              <w:t>屏幕尺寸约6.61英寸</w:t>
            </w:r>
          </w:p>
          <w:p>
            <w:pPr>
              <w:pStyle w:val="null3"/>
            </w:pPr>
            <w:r>
              <w:rPr>
                <w:rFonts w:ascii="仿宋_GB2312" w:hAnsi="仿宋_GB2312" w:cs="仿宋_GB2312" w:eastAsia="仿宋_GB2312"/>
              </w:rPr>
              <w:t>屏幕色域1670万色，85% NTSC色域</w:t>
            </w:r>
          </w:p>
          <w:p>
            <w:pPr>
              <w:pStyle w:val="null3"/>
            </w:pPr>
            <w:r>
              <w:rPr>
                <w:rFonts w:ascii="仿宋_GB2312" w:hAnsi="仿宋_GB2312" w:cs="仿宋_GB2312" w:eastAsia="仿宋_GB2312"/>
              </w:rPr>
              <w:t>屏幕比例约20.05:9</w:t>
            </w:r>
          </w:p>
          <w:p>
            <w:pPr>
              <w:pStyle w:val="null3"/>
            </w:pPr>
            <w:r>
              <w:rPr>
                <w:rFonts w:ascii="仿宋_GB2312" w:hAnsi="仿宋_GB2312" w:cs="仿宋_GB2312" w:eastAsia="仿宋_GB2312"/>
              </w:rPr>
              <w:t>屏幕类型TFTLCD</w:t>
            </w:r>
          </w:p>
          <w:p>
            <w:pPr>
              <w:pStyle w:val="null3"/>
            </w:pPr>
            <w:r>
              <w:rPr>
                <w:rFonts w:ascii="仿宋_GB2312" w:hAnsi="仿宋_GB2312" w:cs="仿宋_GB2312" w:eastAsia="仿宋_GB2312"/>
              </w:rPr>
              <w:t>屏幕分辨率720*1604像素</w:t>
            </w:r>
          </w:p>
          <w:p>
            <w:pPr>
              <w:pStyle w:val="null3"/>
            </w:pPr>
            <w:r>
              <w:rPr>
                <w:rFonts w:ascii="仿宋_GB2312" w:hAnsi="仿宋_GB2312" w:cs="仿宋_GB2312" w:eastAsia="仿宋_GB2312"/>
              </w:rPr>
              <w:t>触摸屏多点触控，最多支持10点触控</w:t>
            </w:r>
          </w:p>
          <w:p>
            <w:pPr>
              <w:pStyle w:val="null3"/>
            </w:pPr>
            <w:r>
              <w:rPr>
                <w:rFonts w:ascii="仿宋_GB2312" w:hAnsi="仿宋_GB2312" w:cs="仿宋_GB2312" w:eastAsia="仿宋_GB2312"/>
              </w:rPr>
              <w:t>屏占比90.5%</w:t>
            </w:r>
          </w:p>
          <w:p>
            <w:pPr>
              <w:pStyle w:val="null3"/>
            </w:pPr>
            <w:r>
              <w:rPr>
                <w:rFonts w:ascii="仿宋_GB2312" w:hAnsi="仿宋_GB2312" w:cs="仿宋_GB2312" w:eastAsia="仿宋_GB2312"/>
              </w:rPr>
              <w:t>屏幕刷新率最高120Hz</w:t>
            </w:r>
          </w:p>
          <w:p>
            <w:pPr>
              <w:pStyle w:val="null3"/>
            </w:pPr>
            <w:r>
              <w:rPr>
                <w:rFonts w:ascii="仿宋_GB2312" w:hAnsi="仿宋_GB2312" w:cs="仿宋_GB2312" w:eastAsia="仿宋_GB2312"/>
              </w:rPr>
              <w:t>3、摄像头</w:t>
            </w:r>
          </w:p>
          <w:p>
            <w:pPr>
              <w:pStyle w:val="null3"/>
            </w:pPr>
            <w:r>
              <w:rPr>
                <w:rFonts w:ascii="仿宋_GB2312" w:hAnsi="仿宋_GB2312" w:cs="仿宋_GB2312" w:eastAsia="仿宋_GB2312"/>
              </w:rPr>
              <w:t>后置摄像头1300万像素主摄（f/1.8光圈）</w:t>
            </w:r>
          </w:p>
          <w:p>
            <w:pPr>
              <w:pStyle w:val="null3"/>
            </w:pPr>
            <w:r>
              <w:rPr>
                <w:rFonts w:ascii="仿宋_GB2312" w:hAnsi="仿宋_GB2312" w:cs="仿宋_GB2312" w:eastAsia="仿宋_GB2312"/>
              </w:rPr>
              <w:t>前置摄像头500万像素（f/2.2光圈）</w:t>
            </w:r>
          </w:p>
          <w:p>
            <w:pPr>
              <w:pStyle w:val="null3"/>
            </w:pPr>
            <w:r>
              <w:rPr>
                <w:rFonts w:ascii="仿宋_GB2312" w:hAnsi="仿宋_GB2312" w:cs="仿宋_GB2312" w:eastAsia="仿宋_GB2312"/>
              </w:rPr>
              <w:t>后置摄像头照片分辨率最大可支持4160*3120像素</w:t>
            </w:r>
          </w:p>
          <w:p>
            <w:pPr>
              <w:pStyle w:val="null3"/>
            </w:pPr>
            <w:r>
              <w:rPr>
                <w:rFonts w:ascii="仿宋_GB2312" w:hAnsi="仿宋_GB2312" w:cs="仿宋_GB2312" w:eastAsia="仿宋_GB2312"/>
              </w:rPr>
              <w:t>后置摄像头摄像分辨率最大可支持1080*1920像素</w:t>
            </w:r>
          </w:p>
          <w:p>
            <w:pPr>
              <w:pStyle w:val="null3"/>
            </w:pPr>
            <w:r>
              <w:rPr>
                <w:rFonts w:ascii="仿宋_GB2312" w:hAnsi="仿宋_GB2312" w:cs="仿宋_GB2312" w:eastAsia="仿宋_GB2312"/>
              </w:rPr>
              <w:t>后置摄像头像素后置单摄： 1300万像素（f/1.8光圈）</w:t>
            </w:r>
          </w:p>
          <w:p>
            <w:pPr>
              <w:pStyle w:val="null3"/>
            </w:pPr>
            <w:r>
              <w:rPr>
                <w:rFonts w:ascii="仿宋_GB2312" w:hAnsi="仿宋_GB2312" w:cs="仿宋_GB2312" w:eastAsia="仿宋_GB2312"/>
              </w:rPr>
              <w:t>前置摄像头照片分辨率最大可支持2592*1944像素</w:t>
            </w:r>
          </w:p>
          <w:p>
            <w:pPr>
              <w:pStyle w:val="null3"/>
            </w:pPr>
            <w:r>
              <w:rPr>
                <w:rFonts w:ascii="仿宋_GB2312" w:hAnsi="仿宋_GB2312" w:cs="仿宋_GB2312" w:eastAsia="仿宋_GB2312"/>
              </w:rPr>
              <w:t>前置摄像头摄像分辨率最大可支持1080*1920像素</w:t>
            </w:r>
          </w:p>
          <w:p>
            <w:pPr>
              <w:pStyle w:val="null3"/>
            </w:pPr>
            <w:r>
              <w:rPr>
                <w:rFonts w:ascii="仿宋_GB2312" w:hAnsi="仿宋_GB2312" w:cs="仿宋_GB2312" w:eastAsia="仿宋_GB2312"/>
              </w:rPr>
              <w:t>前置摄像头像素500万像素摄像头（f/2.2光圈）</w:t>
            </w:r>
          </w:p>
          <w:p>
            <w:pPr>
              <w:pStyle w:val="null3"/>
            </w:pPr>
            <w:r>
              <w:rPr>
                <w:rFonts w:ascii="仿宋_GB2312" w:hAnsi="仿宋_GB2312" w:cs="仿宋_GB2312" w:eastAsia="仿宋_GB2312"/>
              </w:rPr>
              <w:t>4、网络与连接</w:t>
            </w:r>
          </w:p>
          <w:p>
            <w:pPr>
              <w:pStyle w:val="null3"/>
            </w:pPr>
            <w:r>
              <w:rPr>
                <w:rFonts w:ascii="仿宋_GB2312" w:hAnsi="仿宋_GB2312" w:cs="仿宋_GB2312" w:eastAsia="仿宋_GB2312"/>
              </w:rPr>
              <w:t>网络制式支持联通5G/4G+/4G/3G/2G，移动/电信5G/4G+/4G/2G，广电5G/4G+/4G</w:t>
            </w:r>
          </w:p>
          <w:p>
            <w:pPr>
              <w:pStyle w:val="null3"/>
            </w:pPr>
            <w:r>
              <w:rPr>
                <w:rFonts w:ascii="仿宋_GB2312" w:hAnsi="仿宋_GB2312" w:cs="仿宋_GB2312" w:eastAsia="仿宋_GB2312"/>
              </w:rPr>
              <w:t>*卡槽1、2可以任意切换为默认移动数据卡。</w:t>
            </w:r>
          </w:p>
          <w:p>
            <w:pPr>
              <w:pStyle w:val="null3"/>
            </w:pPr>
            <w:r>
              <w:rPr>
                <w:rFonts w:ascii="仿宋_GB2312" w:hAnsi="仿宋_GB2312" w:cs="仿宋_GB2312" w:eastAsia="仿宋_GB2312"/>
              </w:rPr>
              <w:t>*如果两张都是电信卡，副卡（非默认移动数据卡）必须开通电信VoLTE业务，才能同时使用电信双卡。</w:t>
            </w:r>
          </w:p>
          <w:p>
            <w:pPr>
              <w:pStyle w:val="null3"/>
            </w:pPr>
            <w:r>
              <w:rPr>
                <w:rFonts w:ascii="仿宋_GB2312" w:hAnsi="仿宋_GB2312" w:cs="仿宋_GB2312" w:eastAsia="仿宋_GB2312"/>
              </w:rPr>
              <w:t>*5G/4G网络使用，需要根据运营商网络和相关业务部署情况确定是否支持。</w:t>
            </w:r>
          </w:p>
          <w:p>
            <w:pPr>
              <w:pStyle w:val="null3"/>
            </w:pPr>
            <w:r>
              <w:rPr>
                <w:rFonts w:ascii="仿宋_GB2312" w:hAnsi="仿宋_GB2312" w:cs="仿宋_GB2312" w:eastAsia="仿宋_GB2312"/>
              </w:rPr>
              <w:t>5G网络制式主卡：移动5G（NR）/联通5G（NR）/电信5G（NR）/广电5G（NR）</w:t>
            </w:r>
          </w:p>
          <w:p>
            <w:pPr>
              <w:pStyle w:val="null3"/>
            </w:pPr>
            <w:r>
              <w:rPr>
                <w:rFonts w:ascii="仿宋_GB2312" w:hAnsi="仿宋_GB2312" w:cs="仿宋_GB2312" w:eastAsia="仿宋_GB2312"/>
              </w:rPr>
              <w:t>副卡：移动5G（NR）/联通5G（NR）/电信5G（NR）/广电5G（NR）</w:t>
            </w:r>
          </w:p>
          <w:p>
            <w:pPr>
              <w:pStyle w:val="null3"/>
            </w:pPr>
            <w:r>
              <w:rPr>
                <w:rFonts w:ascii="仿宋_GB2312" w:hAnsi="仿宋_GB2312" w:cs="仿宋_GB2312" w:eastAsia="仿宋_GB2312"/>
              </w:rPr>
              <w:t>4G网络制式主卡：移动4G（TD-LTE/LTE FDD）/联通4G（TD-LTE/LTE FDD）/电信4G（TD-LTE/LTE FDD）/广电4G（TD-LTE/LTE FDD）</w:t>
            </w:r>
          </w:p>
          <w:p>
            <w:pPr>
              <w:pStyle w:val="null3"/>
            </w:pPr>
            <w:r>
              <w:rPr>
                <w:rFonts w:ascii="仿宋_GB2312" w:hAnsi="仿宋_GB2312" w:cs="仿宋_GB2312" w:eastAsia="仿宋_GB2312"/>
              </w:rPr>
              <w:t>副卡：移动4G（TD-LTE/LTE FDD）/联通4G（TD-LTE/LTE FDD）/电信4G（TD-LTE/LTE FDD）/广电4G（TD-LTE/LTE FDD）</w:t>
            </w:r>
          </w:p>
          <w:p>
            <w:pPr>
              <w:pStyle w:val="null3"/>
            </w:pPr>
            <w:r>
              <w:rPr>
                <w:rFonts w:ascii="仿宋_GB2312" w:hAnsi="仿宋_GB2312" w:cs="仿宋_GB2312" w:eastAsia="仿宋_GB2312"/>
              </w:rPr>
              <w:t>3G网络制式主卡：联通3G（WCDMA）</w:t>
            </w:r>
          </w:p>
          <w:p>
            <w:pPr>
              <w:pStyle w:val="null3"/>
            </w:pPr>
            <w:r>
              <w:rPr>
                <w:rFonts w:ascii="仿宋_GB2312" w:hAnsi="仿宋_GB2312" w:cs="仿宋_GB2312" w:eastAsia="仿宋_GB2312"/>
              </w:rPr>
              <w:t>副卡：联通3G（WCDMA）</w:t>
            </w:r>
          </w:p>
          <w:p>
            <w:pPr>
              <w:pStyle w:val="null3"/>
            </w:pPr>
            <w:r>
              <w:rPr>
                <w:rFonts w:ascii="仿宋_GB2312" w:hAnsi="仿宋_GB2312" w:cs="仿宋_GB2312" w:eastAsia="仿宋_GB2312"/>
              </w:rPr>
              <w:t>2G网络制式主卡：移动2G（GSM）/联通2G（GSM）/电信2G（CDMA 1X）</w:t>
            </w:r>
          </w:p>
          <w:p>
            <w:pPr>
              <w:pStyle w:val="null3"/>
            </w:pPr>
            <w:r>
              <w:rPr>
                <w:rFonts w:ascii="仿宋_GB2312" w:hAnsi="仿宋_GB2312" w:cs="仿宋_GB2312" w:eastAsia="仿宋_GB2312"/>
              </w:rPr>
              <w:t>副卡：移动2G（GSM）/联通2G（GSM）/电信2G（CDMA 1X）</w:t>
            </w:r>
          </w:p>
          <w:p>
            <w:pPr>
              <w:pStyle w:val="null3"/>
            </w:pPr>
            <w:r>
              <w:rPr>
                <w:rFonts w:ascii="仿宋_GB2312" w:hAnsi="仿宋_GB2312" w:cs="仿宋_GB2312" w:eastAsia="仿宋_GB2312"/>
              </w:rPr>
              <w:t>网络功能Link Turbo X网络加速</w:t>
            </w:r>
          </w:p>
          <w:p>
            <w:pPr>
              <w:pStyle w:val="null3"/>
            </w:pPr>
            <w:r>
              <w:rPr>
                <w:rFonts w:ascii="仿宋_GB2312" w:hAnsi="仿宋_GB2312" w:cs="仿宋_GB2312" w:eastAsia="仿宋_GB2312"/>
              </w:rPr>
              <w:t>数据线接口Type-C，USB 2.0</w:t>
            </w:r>
          </w:p>
          <w:p>
            <w:pPr>
              <w:pStyle w:val="null3"/>
            </w:pPr>
            <w:r>
              <w:rPr>
                <w:rFonts w:ascii="仿宋_GB2312" w:hAnsi="仿宋_GB2312" w:cs="仿宋_GB2312" w:eastAsia="仿宋_GB2312"/>
              </w:rPr>
              <w:t>耳机接口3.5mm</w:t>
            </w:r>
          </w:p>
          <w:p>
            <w:pPr>
              <w:pStyle w:val="null3"/>
            </w:pPr>
            <w:r>
              <w:rPr>
                <w:rFonts w:ascii="仿宋_GB2312" w:hAnsi="仿宋_GB2312" w:cs="仿宋_GB2312" w:eastAsia="仿宋_GB2312"/>
              </w:rPr>
              <w:t>充电接口类型Type-C</w:t>
            </w:r>
          </w:p>
          <w:p>
            <w:pPr>
              <w:pStyle w:val="null3"/>
            </w:pPr>
            <w:r>
              <w:rPr>
                <w:rFonts w:ascii="仿宋_GB2312" w:hAnsi="仿宋_GB2312" w:cs="仿宋_GB2312" w:eastAsia="仿宋_GB2312"/>
              </w:rPr>
              <w:t>WLAN支持</w:t>
            </w:r>
          </w:p>
          <w:p>
            <w:pPr>
              <w:pStyle w:val="null3"/>
            </w:pPr>
            <w:r>
              <w:rPr>
                <w:rFonts w:ascii="仿宋_GB2312" w:hAnsi="仿宋_GB2312" w:cs="仿宋_GB2312" w:eastAsia="仿宋_GB2312"/>
              </w:rPr>
              <w:t>WLAN 热点支持</w:t>
            </w:r>
          </w:p>
          <w:p>
            <w:pPr>
              <w:pStyle w:val="null3"/>
            </w:pPr>
            <w:r>
              <w:rPr>
                <w:rFonts w:ascii="仿宋_GB2312" w:hAnsi="仿宋_GB2312" w:cs="仿宋_GB2312" w:eastAsia="仿宋_GB2312"/>
              </w:rPr>
              <w:t>WLAN 协议802.11 a/b/g/n/ac</w:t>
            </w:r>
          </w:p>
          <w:p>
            <w:pPr>
              <w:pStyle w:val="null3"/>
            </w:pPr>
            <w:r>
              <w:rPr>
                <w:rFonts w:ascii="仿宋_GB2312" w:hAnsi="仿宋_GB2312" w:cs="仿宋_GB2312" w:eastAsia="仿宋_GB2312"/>
              </w:rPr>
              <w:t>WLAN 频率2.4GHz和5GHz</w:t>
            </w:r>
          </w:p>
          <w:p>
            <w:pPr>
              <w:pStyle w:val="null3"/>
            </w:pPr>
            <w:r>
              <w:rPr>
                <w:rFonts w:ascii="仿宋_GB2312" w:hAnsi="仿宋_GB2312" w:cs="仿宋_GB2312" w:eastAsia="仿宋_GB2312"/>
              </w:rPr>
              <w:t>WLAN 直连支持</w:t>
            </w:r>
          </w:p>
          <w:p>
            <w:pPr>
              <w:pStyle w:val="null3"/>
            </w:pPr>
            <w:r>
              <w:rPr>
                <w:rFonts w:ascii="仿宋_GB2312" w:hAnsi="仿宋_GB2312" w:cs="仿宋_GB2312" w:eastAsia="仿宋_GB2312"/>
              </w:rPr>
              <w:t>蓝牙BT5.3，支持BLE、SBC、AAC、LDAC、APTX、APTX HD</w:t>
            </w:r>
          </w:p>
          <w:p>
            <w:pPr>
              <w:pStyle w:val="null3"/>
            </w:pPr>
            <w:r>
              <w:rPr>
                <w:rFonts w:ascii="仿宋_GB2312" w:hAnsi="仿宋_GB2312" w:cs="仿宋_GB2312" w:eastAsia="仿宋_GB2312"/>
              </w:rPr>
              <w:t>OTG支持（反向供电时最大输出电流0.5A/5V）</w:t>
            </w:r>
          </w:p>
          <w:p>
            <w:pPr>
              <w:pStyle w:val="null3"/>
            </w:pPr>
            <w:r>
              <w:rPr>
                <w:rFonts w:ascii="仿宋_GB2312" w:hAnsi="仿宋_GB2312" w:cs="仿宋_GB2312" w:eastAsia="仿宋_GB2312"/>
              </w:rPr>
              <w:t>GPS支持</w:t>
            </w:r>
          </w:p>
          <w:p>
            <w:pPr>
              <w:pStyle w:val="null3"/>
            </w:pPr>
            <w:r>
              <w:rPr>
                <w:rFonts w:ascii="仿宋_GB2312" w:hAnsi="仿宋_GB2312" w:cs="仿宋_GB2312" w:eastAsia="仿宋_GB2312"/>
              </w:rPr>
              <w:t>蜂窝网络定位支持</w:t>
            </w:r>
          </w:p>
          <w:p>
            <w:pPr>
              <w:pStyle w:val="null3"/>
            </w:pPr>
            <w:r>
              <w:rPr>
                <w:rFonts w:ascii="仿宋_GB2312" w:hAnsi="仿宋_GB2312" w:cs="仿宋_GB2312" w:eastAsia="仿宋_GB2312"/>
              </w:rPr>
              <w:t>WLAN 网络定位支持</w:t>
            </w:r>
          </w:p>
          <w:p>
            <w:pPr>
              <w:pStyle w:val="null3"/>
            </w:pPr>
            <w:r>
              <w:rPr>
                <w:rFonts w:ascii="仿宋_GB2312" w:hAnsi="仿宋_GB2312" w:cs="仿宋_GB2312" w:eastAsia="仿宋_GB2312"/>
              </w:rPr>
              <w:t>Glonass支持</w:t>
            </w:r>
          </w:p>
          <w:p>
            <w:pPr>
              <w:pStyle w:val="null3"/>
            </w:pPr>
            <w:r>
              <w:rPr>
                <w:rFonts w:ascii="仿宋_GB2312" w:hAnsi="仿宋_GB2312" w:cs="仿宋_GB2312" w:eastAsia="仿宋_GB2312"/>
              </w:rPr>
              <w:t>北斗支持</w:t>
            </w:r>
          </w:p>
          <w:p>
            <w:pPr>
              <w:pStyle w:val="null3"/>
            </w:pPr>
            <w:r>
              <w:rPr>
                <w:rFonts w:ascii="仿宋_GB2312" w:hAnsi="仿宋_GB2312" w:cs="仿宋_GB2312" w:eastAsia="仿宋_GB2312"/>
                <w:b/>
              </w:rPr>
              <w:t>注:以上参数为最低配置，只能响应和优于该配置，不响应按废标处理。</w:t>
            </w:r>
          </w:p>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1.质量要求及验收标准：</w:t>
            </w:r>
          </w:p>
          <w:p>
            <w:pPr>
              <w:pStyle w:val="null3"/>
            </w:pPr>
            <w:r>
              <w:rPr>
                <w:rFonts w:ascii="仿宋_GB2312" w:hAnsi="仿宋_GB2312" w:cs="仿宋_GB2312" w:eastAsia="仿宋_GB2312"/>
              </w:rPr>
              <w:t>质量要求：达到国家现行技术标准。</w:t>
            </w:r>
          </w:p>
          <w:p>
            <w:pPr>
              <w:pStyle w:val="null3"/>
            </w:pPr>
            <w:r>
              <w:rPr>
                <w:rFonts w:ascii="仿宋_GB2312" w:hAnsi="仿宋_GB2312" w:cs="仿宋_GB2312" w:eastAsia="仿宋_GB2312"/>
              </w:rPr>
              <w:t>验收标准：国家标准、行业标准、企业标准。</w:t>
            </w:r>
          </w:p>
          <w:p>
            <w:pPr>
              <w:pStyle w:val="null3"/>
            </w:pPr>
            <w:r>
              <w:rPr>
                <w:rFonts w:ascii="仿宋_GB2312" w:hAnsi="仿宋_GB2312" w:cs="仿宋_GB2312" w:eastAsia="仿宋_GB2312"/>
              </w:rPr>
              <w:t>2.服务期限、地点：</w:t>
            </w:r>
          </w:p>
          <w:p>
            <w:pPr>
              <w:pStyle w:val="null3"/>
            </w:pPr>
            <w:r>
              <w:rPr>
                <w:rFonts w:ascii="仿宋_GB2312" w:hAnsi="仿宋_GB2312" w:cs="仿宋_GB2312" w:eastAsia="仿宋_GB2312"/>
              </w:rPr>
              <w:t>服务期限：服务期限两年（合同一年一签）。</w:t>
            </w:r>
          </w:p>
          <w:p>
            <w:pPr>
              <w:pStyle w:val="null3"/>
            </w:pPr>
            <w:r>
              <w:rPr>
                <w:rFonts w:ascii="仿宋_GB2312" w:hAnsi="仿宋_GB2312" w:cs="仿宋_GB2312" w:eastAsia="仿宋_GB2312"/>
              </w:rPr>
              <w:t>建设期限：供应商自合同签订之日起30日内完成提供本合同项下服务内容的全部建设工作。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服务期限两年（合同一年一签）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国家标准、行业标准、企业标准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合同签订后经财政部门审批后一次性付清本年度租赁金额，第二年的合同经甲方监管部门审批后，合同签订后经财政部门审批后一次性付清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总价合同，每年预算58.92万元。磋商报价是供应商应在磋商报价表中标明完成本项目所要求内容且验收合格的所有费用,总价包括但不限于人工费、终端租赁费、通讯服务费、税金、采购代理服务费等其他一切相关费用。任何有选择的报价将不予接受，否则按无效磋商处理。 （2）项目属性：服务。 （3）本项目所属行业为：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1、提供合格有效的法人或者其他组织的营业执照等证明文件，自然人的身份证明；2、提供基本资格条件承诺函；</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法定代表人授权书（附法定代表人、被授权人身份证复印件及被授权人开标前三个月内任意一个月在本单位的社保缴纳证明）（法定代表人直接参加磋商，须提供法定代表人身份证明）；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只能有一个有效报价，不得提交选择性报价，且报价不超过采购预算金额或单价最高限价（如有）</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供应商针对本项目提供总体实施方案，方案需按照住建部要求的数字化城市管理平台标准： 总体架构和技术架构设计合理、层次清楚、特色鲜明、方案合理，完全符合项目需求、可在现有平台接入、升级、扩容得14-20分； 方案基本合理、架构较为明确、基本符合项目需求，可在现有平台接入、升级、扩容得得7-14分； 方案不合理、架构不明确、无法接入现有平台得0-7分。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拟派项目人员</w:t>
            </w:r>
          </w:p>
        </w:tc>
        <w:tc>
          <w:tcPr>
            <w:tcW w:type="dxa" w:w="2492"/>
          </w:tcPr>
          <w:p>
            <w:pPr>
              <w:pStyle w:val="null3"/>
            </w:pPr>
            <w:r>
              <w:rPr>
                <w:rFonts w:ascii="仿宋_GB2312" w:hAnsi="仿宋_GB2312" w:cs="仿宋_GB2312" w:eastAsia="仿宋_GB2312"/>
              </w:rPr>
              <w:t>供应商针对本项目提供拟派项目人员及管理方案： 项目管理体系完整，项目团队配置合理，分工与职责明确，人力保障充分，团队人员不低于5人，得3-6分；，项目团队配置不合理，分工与职责不明确，人力保障不充分，团队人员少于5人，得0-3分； 拟派项目人员具备一名高级项目管理师，得2分； 拟派项目人员具备一名通信工程师，得2分。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培训组织</w:t>
            </w:r>
          </w:p>
        </w:tc>
        <w:tc>
          <w:tcPr>
            <w:tcW w:type="dxa" w:w="2492"/>
          </w:tcPr>
          <w:p>
            <w:pPr>
              <w:pStyle w:val="null3"/>
            </w:pPr>
            <w:r>
              <w:rPr>
                <w:rFonts w:ascii="仿宋_GB2312" w:hAnsi="仿宋_GB2312" w:cs="仿宋_GB2312" w:eastAsia="仿宋_GB2312"/>
              </w:rPr>
              <w:t>供应商针对本项目提供培训方案，包括但不限于日常使用操作、简单故障的排除、紧急情况的处理等，保证用户能够熟练操作、简单故障的排除以及处理紧急情况： 方案详细完整、科学合理可行，针对性强，完全符合采购人特点及要求得6-10分； 方案基本完整，针对性较强，基本符合采购人特点及要求得3-6分； 方案内容不完整、针对性一般得0-3分。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产品配置</w:t>
            </w:r>
          </w:p>
        </w:tc>
        <w:tc>
          <w:tcPr>
            <w:tcW w:type="dxa" w:w="2492"/>
          </w:tcPr>
          <w:p>
            <w:pPr>
              <w:pStyle w:val="null3"/>
            </w:pPr>
            <w:r>
              <w:rPr>
                <w:rFonts w:ascii="仿宋_GB2312" w:hAnsi="仿宋_GB2312" w:cs="仿宋_GB2312" w:eastAsia="仿宋_GB2312"/>
              </w:rPr>
              <w:t>设备进货渠道正规，提供产品来源渠道合法的证明文件（包括但不限于销售协议、代理协议、原厂授权等），并能够提供设备说明书等相关资料；确保生产供应的设备无假货、水货、翻新货且无产权纠纷；投标人所投设备技术工艺先进，性能稳定，具有较好的使用效果，质量保证完善符合国际、国内相关标准得6-10分； 资料较齐全、渠道完善可证明产品正规合格得3-6分； 资料不全、无法证明产品质量合格得0-3分。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租赁服务</w:t>
            </w:r>
          </w:p>
        </w:tc>
        <w:tc>
          <w:tcPr>
            <w:tcW w:type="dxa" w:w="2492"/>
          </w:tcPr>
          <w:p>
            <w:pPr>
              <w:pStyle w:val="null3"/>
            </w:pPr>
            <w:r>
              <w:rPr>
                <w:rFonts w:ascii="仿宋_GB2312" w:hAnsi="仿宋_GB2312" w:cs="仿宋_GB2312" w:eastAsia="仿宋_GB2312"/>
              </w:rPr>
              <w:t>供应商针对本项目提出具体的租赁服务方案，包括但不限于故障响应速度、服务管理流程、安全评估服务、重要时期保障服务、例行检查、租赁服务团队、应急保障等； 服务详细完整、科学合理可行，针对性强，完全符合项目特点及要求得6-10分； 服务基本完整，针对性较强，基本符合项目特点及要求得3-6分； 服务内容不完整、针对性一般得0-3分。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1.经初审合格的磋商响应文件，其磋商报价为有效报价。对符合政策性扣减的有效磋商报价进行政策性扣减，并依据扣减后的价格（评审价格）进行价格评审。 2.满足磋商文件实质性要求且最终报价最低的供应商的价格为磋商基准价，其价格分为满分30分。 3.磋商报价得分=（磋商基准价/最终评审磋商报价）×30的公式计算得分。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