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版本号：ZHZB2025-010.1B120250731001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西航北侧地块围墙修建项目(二次)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ZHZB2025-010.1B1</w:t>
      </w:r>
      <w:r>
        <w:br/>
      </w:r>
      <w:r>
        <w:br/>
      </w:r>
      <w:r>
        <w:br/>
      </w:r>
    </w:p>
    <w:p>
      <w:pPr>
        <w:pStyle w:val="null3"/>
        <w:jc w:val="center"/>
        <w:outlineLvl w:val="2"/>
      </w:pPr>
      <w:r>
        <w:rPr>
          <w:rFonts w:ascii="仿宋_GB2312" w:hAnsi="仿宋_GB2312" w:cs="仿宋_GB2312" w:eastAsia="仿宋_GB2312"/>
          <w:sz w:val="28"/>
          <w:b/>
        </w:rPr>
        <w:t>西安市未央区城市管理和综合执法局</w:t>
      </w:r>
    </w:p>
    <w:p>
      <w:pPr>
        <w:pStyle w:val="null3"/>
        <w:jc w:val="center"/>
        <w:outlineLvl w:val="2"/>
      </w:pPr>
      <w:r>
        <w:rPr>
          <w:rFonts w:ascii="仿宋_GB2312" w:hAnsi="仿宋_GB2312" w:cs="仿宋_GB2312" w:eastAsia="仿宋_GB2312"/>
          <w:sz w:val="28"/>
          <w:b/>
        </w:rPr>
        <w:t>中昊泰达咨询集团有限公司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中昊泰达咨询集团有限公司</w:t>
      </w:r>
      <w:r>
        <w:rPr>
          <w:rFonts w:ascii="仿宋_GB2312" w:hAnsi="仿宋_GB2312" w:cs="仿宋_GB2312" w:eastAsia="仿宋_GB2312"/>
        </w:rPr>
        <w:t>（以下简称“代理机构”）受</w:t>
      </w:r>
      <w:r>
        <w:rPr>
          <w:rFonts w:ascii="仿宋_GB2312" w:hAnsi="仿宋_GB2312" w:cs="仿宋_GB2312" w:eastAsia="仿宋_GB2312"/>
        </w:rPr>
        <w:t>西安市未央区城市管理和综合执法局</w:t>
      </w:r>
      <w:r>
        <w:rPr>
          <w:rFonts w:ascii="仿宋_GB2312" w:hAnsi="仿宋_GB2312" w:cs="仿宋_GB2312" w:eastAsia="仿宋_GB2312"/>
        </w:rPr>
        <w:t>委托，拟对</w:t>
      </w:r>
      <w:r>
        <w:rPr>
          <w:rFonts w:ascii="仿宋_GB2312" w:hAnsi="仿宋_GB2312" w:cs="仿宋_GB2312" w:eastAsia="仿宋_GB2312"/>
        </w:rPr>
        <w:t>西航北侧地块围墙修建项目(二次)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ZHZB2025-010.1B1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西航北侧地块围墙修建项目(二次)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西航北侧地块围墙修建项目：围墙建设长度902m，主要为装配式环保预制围墙施工，包括基础浇筑、围墙安装、墙面装饰，具体内容详见工程量清单及图纸。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采购包1（西航北侧地块围墙修建项目）：属于专门面向中小企业采购。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身份证明或法定代表人授权书：法定代表人直接参加磋商的，须出具法定代表人身份证明。法定代表人委托代理人参加磋商的，须出具法定代表人授权书（附法定代表人、代理人身份证复印件）及社保缴纳证明（响应文件提交截止日前连续三个月的社保缴纳证明）</w:t>
      </w:r>
    </w:p>
    <w:p>
      <w:pPr>
        <w:pStyle w:val="null3"/>
      </w:pPr>
      <w:r>
        <w:rPr>
          <w:rFonts w:ascii="仿宋_GB2312" w:hAnsi="仿宋_GB2312" w:cs="仿宋_GB2312" w:eastAsia="仿宋_GB2312"/>
        </w:rPr>
        <w:t>2、供应商资质：投标人须具备建设行政主管部门颁发的建筑工程施工总承包三级及以上资质，同时具有有效的安全生产许可证。</w:t>
      </w:r>
    </w:p>
    <w:p>
      <w:pPr>
        <w:pStyle w:val="null3"/>
      </w:pPr>
      <w:r>
        <w:rPr>
          <w:rFonts w:ascii="仿宋_GB2312" w:hAnsi="仿宋_GB2312" w:cs="仿宋_GB2312" w:eastAsia="仿宋_GB2312"/>
        </w:rPr>
        <w:t>3、拟派项目经理资质要求：拟派项目经理须具备建筑工程专业二级及以上注册建造师资格，安全生产考核证(B证)合格有效，在本单位注册，且未担任其他在建工程项目的项目经理。</w:t>
      </w:r>
    </w:p>
    <w:p>
      <w:pPr>
        <w:pStyle w:val="null3"/>
      </w:pPr>
      <w:r>
        <w:rPr>
          <w:rFonts w:ascii="仿宋_GB2312" w:hAnsi="仿宋_GB2312" w:cs="仿宋_GB2312" w:eastAsia="仿宋_GB2312"/>
        </w:rPr>
        <w:t>4、供应商信誉要求：投标人不得为中国执行信息公开网（http://zxgk.court.gov.cn/shixin/）失信被执行人及“信用中国”网站（www.creditchina.gov.cn）重大税收违法失信主体的投标人；不得为中国政府采购网（www.ccgp.gov.cn）政府采购严重违法失信行为记录名单中的投标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陕西省西安市未央区连心路51号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15809263982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中昊泰达咨询集团有限公司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西安市未央区未央路113号雅荷花园A18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张俊姣、郭雅楠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029-86686703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采购包1：404,041.13元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西安市未央区城市管理和综合执法局</w:t>
      </w:r>
      <w:r>
        <w:rPr>
          <w:rFonts w:ascii="仿宋_GB2312" w:hAnsi="仿宋_GB2312" w:cs="仿宋_GB2312" w:eastAsia="仿宋_GB2312"/>
        </w:rPr>
        <w:t>和</w:t>
      </w:r>
      <w:r>
        <w:rPr>
          <w:rFonts w:ascii="仿宋_GB2312" w:hAnsi="仿宋_GB2312" w:cs="仿宋_GB2312" w:eastAsia="仿宋_GB2312"/>
        </w:rPr>
        <w:t>中昊泰达咨询集团有限公司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中昊泰达咨询集团有限公司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中昊泰达咨询集团有限公司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符合国家、地方及行业相关规范、规程、标准及采购人相关要求。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联系人：张俊姣、郭雅楠</w:t>
      </w:r>
    </w:p>
    <w:p>
      <w:pPr>
        <w:pStyle w:val="null3"/>
      </w:pPr>
      <w:r>
        <w:rPr>
          <w:rFonts w:ascii="仿宋_GB2312" w:hAnsi="仿宋_GB2312" w:cs="仿宋_GB2312" w:eastAsia="仿宋_GB2312"/>
        </w:rPr>
        <w:t>联系电话：029-86686703</w:t>
      </w:r>
    </w:p>
    <w:p>
      <w:pPr>
        <w:pStyle w:val="null3"/>
      </w:pPr>
      <w:r>
        <w:rPr>
          <w:rFonts w:ascii="仿宋_GB2312" w:hAnsi="仿宋_GB2312" w:cs="仿宋_GB2312" w:eastAsia="仿宋_GB2312"/>
        </w:rPr>
        <w:t>地址：西安市未央区未央路中环大厦A座北梯24层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404,041.13</w:t>
      </w:r>
    </w:p>
    <w:p>
      <w:pPr>
        <w:pStyle w:val="null3"/>
      </w:pPr>
      <w:r>
        <w:rPr>
          <w:rFonts w:ascii="仿宋_GB2312" w:hAnsi="仿宋_GB2312" w:cs="仿宋_GB2312" w:eastAsia="仿宋_GB2312"/>
        </w:rPr>
        <w:t>采购包最高限价（元）: 404,041.13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西航北侧地块围墙修建项目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404,041.13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标的名称：西航北侧地块围墙修建项目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项目概况：围墙建设长度</w:t>
            </w:r>
            <w:r>
              <w:rPr>
                <w:rFonts w:ascii="仿宋_GB2312" w:hAnsi="仿宋_GB2312" w:cs="仿宋_GB2312" w:eastAsia="仿宋_GB2312"/>
                <w:sz w:val="21"/>
              </w:rPr>
              <w:t>902m，主要为装配式环保预制围墙施工，包括基础浇筑、围墙安装、墙面装饰，具体内容详见工程量清单及图纸</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工期：10天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质量保修期：1年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施工地点：</w:t>
            </w:r>
            <w:r>
              <w:rPr>
                <w:rFonts w:ascii="仿宋_GB2312" w:hAnsi="仿宋_GB2312" w:cs="仿宋_GB2312" w:eastAsia="仿宋_GB2312"/>
                <w:sz w:val="21"/>
              </w:rPr>
              <w:t>采购人指定地点</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工程质量：</w:t>
            </w:r>
            <w:r>
              <w:rPr>
                <w:rFonts w:ascii="仿宋_GB2312" w:hAnsi="仿宋_GB2312" w:cs="仿宋_GB2312" w:eastAsia="仿宋_GB2312"/>
                <w:sz w:val="21"/>
              </w:rPr>
              <w:t>符合国家、地方及行业相关规范、规程、标准及采购人相关要求。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最高限价为404041.13元，措施项目费为17024.87元，安全文明施工费为14931.46元，规费为17577.87元，供应商提交的已标价工程量清单应符合本项目工程量清单以及清单说明的要求，未按照磋商文件要求填报综合单价或超过磋商文件最高限价的，视为未响应磋商文件，作无效处理。 2.成交人在施工期间应严格遵守国家、省、市有关防火、安全文明施工、夜间施工等规定,建立规章制度和防护措施,应按安全施工的要求,采取严格科学的安全措施,确保施工安全和第三者的安全,确保工程质量和生产安全。否则,由此造成的经济和法律责任均由成交人承担。 3.成交人应配合项目建设进度,向采购人提供本项目施工组织方案、施工进度计划和施工作业计划，并签订施工安全责任书。 4.成交供应商在领取成交通知书前，须向采购代理机构提供纸质版响应文件3套（1正2副），U盘2份（U盘需包括系统生成的全部已签章响应文件（PDF格式）、U盘标明供应商名称。）且提供的响应文件必须与在陕西省政府采购综合管理平台的项目电子化交易系统中提交的电子响应文件内容一致，纸质版响应文件必须装订成册签字盖章。 5.款项结算： （1）工程竣工验收合格，根据评审结果，一次性支付审定金额的97%，质保期结束后无质量问题支付剩余的3%。 （2）支付方式：银行转账；甲方付款前，乙方需提供等额增值税普通发票。 6.本工程量清单采用广联达计价软件 GCCP6.0（6.4100.23.122）版本编制。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供应商需在项目电子化交易系统中按要求填写《投标函》完成承诺并进行电子签章，并提供以下证明材料： 1.在中华人民共和国境内注册，依法取得并有效存续的营业执照（含电子营业执照）\事业单位法人证书\民办非企业单位登记证书\非企业专业服务机构执业许可证等； 2.《基本资格条件承诺函》，供应商应对承诺内容的真实性、合法性、有效性负责。经调查核实为虚假承诺的，视同为“提供虚假材料谋取中标、成交”的违法行为，依照《中华人民共和国政府采购法》等法律法规追究相应责任。承诺函格式详情见竞争性磋商文件第七章响应文件格式。不提供《基本资格条件承诺函》的供应商需提交如下资格证明文件：①财务状况报告：提供具有经审计资质单位出具的2024年度的财务审计报告，成立时间至提交竞争性磋商响应文件截止时间不足一年的可提供成立后任意时段的资产负债表；或其首次响应文件递交截止前前六个月内基本存款账户开户银行出具的资信证明。（以上两种形式的资料提供任何一种即可）；②提供首次响应文件递交截止时间前六个月内任意时段的纳税证明或完税证明（除印花税外任意税种），纳税证明或完税证明上应有代收机构或税务机关的公章或业务专用章。依法免税的供应商应提供相关文件证明；③提供首次响应文件递交截止时间前六个月内任意时段的社会保障资金缴存单据或社保机构开具的社会保险参保缴费情况证明，依法不需要缴纳社会保障资金的单位应提供相关证明材料；④提供具有履行合同所必需的设备和专业技术能力的承诺；⑤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身份证明或法定代表人授权书：法定代表人直接参加磋商的，须出具法定代表人身份证明。法定代表人委托代理人参加磋商的，须出具法定代表人授权书（附法定代表人、代理人身份证复印件）及社保缴纳证明（响应文件提交截止日前连续三个月的社保缴纳证明）</w:t>
            </w:r>
          </w:p>
        </w:tc>
        <w:tc>
          <w:tcPr>
            <w:tcW w:type="dxa" w:w="1661"/>
          </w:tcPr>
          <w:p>
            <w:pPr>
              <w:pStyle w:val="null3"/>
            </w:pPr>
            <w:r>
              <w:rPr>
                <w:rFonts w:ascii="仿宋_GB2312" w:hAnsi="仿宋_GB2312" w:cs="仿宋_GB2312" w:eastAsia="仿宋_GB2312"/>
              </w:rPr>
              <w:t>供应商应提交的相关资格证明材料.docx 项目管理机构组成表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投标人须具备建设行政主管部门颁发的建筑工程施工总承包三级及以上资质，同时具有有效的安全生产许可证。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拟派项目经理须具备建筑工程专业二级及以上注册建造师资格，安全生产考核证(B证)合格有效，在本单位注册，且未担任其他在建工程项目的项目经理。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投标人不得为中国执行信息公开网（http://zxgk.court.gov.cn/shixin/）失信被执行人及“信用中国”网站（www.creditchina.gov.cn）重大税收违法失信主体的投标人；不得为中国政府采购网（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已标价工程量清单 中小企业声明函 响应偏离表.docx 施工组织设计.docx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响应有效期满足要求的</w:t>
            </w:r>
          </w:p>
        </w:tc>
        <w:tc>
          <w:tcPr>
            <w:tcW w:type="dxa" w:w="1661"/>
          </w:tcPr>
          <w:p>
            <w:pPr>
              <w:pStyle w:val="null3"/>
            </w:pPr>
            <w:r>
              <w:rPr>
                <w:rFonts w:ascii="仿宋_GB2312" w:hAnsi="仿宋_GB2312" w:cs="仿宋_GB2312" w:eastAsia="仿宋_GB2312"/>
              </w:rPr>
              <w:t>响应文件封面 响应偏离表.docx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满足本磋商文件中标注的实质性条款（工期、工程质量、支付方式）要求的</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标的清单 响应偏离表.docx 响应函 施工组织设计.docx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项目管理机构内容至少包括①项目管理机构图；②岗位安排及职责（配备施工员、安全员、资料员、材料员、质量员；且每人具备有效的岗位证书(安全员附C3 证)提供相关证书证件复印件加盖投标人公章））；③管理制度；④相应的协调措施等。 方案各部分内容全面详细、阐述条理清晰详尽符合本项需求得8分；以上评审内容每缺一项扣2分；评审内容有缺陷（缺陷是指：内容粗略、逻辑混乱、描述过于简单、与项目特点不匹配、凭空编造、逻辑漏洞、出现常识性错误、存在不适用项目实际情况的情形或只有标题没有实质性内容等）的扣0.1-1.0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计划内容至少包含①施工总进度计划安排；②进度控制原则、进度控制流程；③影响本项目工期的主要因素（重点、难点）分析；④工期保证措施。方案各部分内容全面详细、阐述条理清晰详尽符合本项需求得4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施工工艺</w:t>
            </w:r>
          </w:p>
        </w:tc>
        <w:tc>
          <w:tcPr>
            <w:tcW w:type="dxa" w:w="2492"/>
          </w:tcPr>
          <w:p>
            <w:pPr>
              <w:pStyle w:val="null3"/>
            </w:pPr>
            <w:r>
              <w:rPr>
                <w:rFonts w:ascii="仿宋_GB2312" w:hAnsi="仿宋_GB2312" w:cs="仿宋_GB2312" w:eastAsia="仿宋_GB2312"/>
              </w:rPr>
              <w:t>施工工艺内容至少包含:①工程基本情况概括、工程特点阐述;②施工应遵守的规范及技术标准;③分部分项工程的施工方法及工艺;④施工用电、用水、交通部署、消防设施配备、仓储、设备安置存放等);⑤隐蔽工程自查制度:⑥夜间、雨季施工措施。方案各部分内容全面详细、阐述条理清晰详尽符合本项需求得6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资源配置</w:t>
            </w:r>
          </w:p>
        </w:tc>
        <w:tc>
          <w:tcPr>
            <w:tcW w:type="dxa" w:w="2492"/>
          </w:tcPr>
          <w:p>
            <w:pPr>
              <w:pStyle w:val="null3"/>
            </w:pPr>
            <w:r>
              <w:rPr>
                <w:rFonts w:ascii="仿宋_GB2312" w:hAnsi="仿宋_GB2312" w:cs="仿宋_GB2312" w:eastAsia="仿宋_GB2312"/>
              </w:rPr>
              <w:t>资源配置内容至少包含:①本项目资源配置总体规划②本项目资源配置的主要因素（重点、难点）分析③施工准备(含现场临时设施准备)④人、料、机等主要资源配置计划及管理措施。方案各部分内容全面详细、阐述条理清晰详尽符合本项需求得4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至少包含:①质量管理机构及保证体系:②质量管理制度;③质量保证措施及承诺;④材料质量检查制度、材料临时堆放与保护措施;⑤每一施工环节施工质量的自查与改进制度。⑥质量保修承诺。方案各部分内容全面详细、阐述条理清晰详尽符合本项需求得6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保证措施内容至少包含:①安全管理制度(包括:人员安全教育培训);②现场管理人员安全责任归属划分:③安全保证措施，需提供针对施工现场“安全”保证承诺；④施工场地治安保卫管理计划;⑤关于“安全警戒标语、施工人员安全警示服、安全帽穿配”的配置及相关要求。方案各部分内容全面详细、阐述条理清晰详尽符合本项需求得5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环保文明措施</w:t>
            </w:r>
          </w:p>
        </w:tc>
        <w:tc>
          <w:tcPr>
            <w:tcW w:type="dxa" w:w="2492"/>
          </w:tcPr>
          <w:p>
            <w:pPr>
              <w:pStyle w:val="null3"/>
            </w:pPr>
            <w:r>
              <w:rPr>
                <w:rFonts w:ascii="仿宋_GB2312" w:hAnsi="仿宋_GB2312" w:cs="仿宋_GB2312" w:eastAsia="仿宋_GB2312"/>
              </w:rPr>
              <w:t>环保文明措施内容至少包含:①环境保护管理体系;②文明施工组织措施;③污染物处理及排放;④建筑垃圾处置;⑤防尘、噪音控制措施;⑥废弃物处理。方案各部分内容全面详细、阐述条理清晰详尽符合本项需求得6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内容至少包含:①应急预案的方针与原则;②重点难点环节控制措施;③应急保证措施;④应急响应小组结构:⑤应急事故发生处理流程;⑥应急设备配置。方案各部分内容全面详细、阐述条理清晰详尽符合本项需求得6分；以上评审内容每缺一项扣1分；评审内容有缺陷的扣0.1-0.5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具有建筑工程专业中级职称得2分，具有高级及以上技术职称的得4分。（提供相关证书证件复印件加盖投标人公章）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供应商2022年1月以来同类项目业绩；每提供1份得2分，最高得6分。业绩证明（以合同或中标/成交通知书为准，须在磋商响应文件中附以上证明材料的扫描件加盖单位公章。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满足磋商文件要求且最后报价最低的供应商的价格为磋商基准价，其价格分为满分。其他供应商的价格分统一按照下列公式计算：磋商报价得分=（磋商基准价/最终磋商报价）×45</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