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版本号：SXLX25-01-068Z(G)20250806002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西安市未央区“三无”小区改造工程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SXLX25-01-068Z(G)</w:t>
      </w:r>
      <w:r>
        <w:br/>
      </w:r>
      <w:r>
        <w:br/>
      </w:r>
      <w:r>
        <w:br/>
      </w:r>
    </w:p>
    <w:p>
      <w:pPr>
        <w:pStyle w:val="null3"/>
        <w:jc w:val="center"/>
        <w:outlineLvl w:val="2"/>
      </w:pPr>
      <w:r>
        <w:rPr>
          <w:rFonts w:ascii="仿宋_GB2312" w:hAnsi="仿宋_GB2312" w:cs="仿宋_GB2312" w:eastAsia="仿宋_GB2312"/>
          <w:sz w:val="28"/>
          <w:b/>
        </w:rPr>
        <w:t>西安市未央区住房和城市建设局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西安市未央区住房和城市建设局</w:t>
      </w:r>
      <w:r>
        <w:rPr>
          <w:rFonts w:ascii="仿宋_GB2312" w:hAnsi="仿宋_GB2312" w:cs="仿宋_GB2312" w:eastAsia="仿宋_GB2312"/>
        </w:rPr>
        <w:t>委托，拟对</w:t>
      </w:r>
      <w:r>
        <w:rPr>
          <w:rFonts w:ascii="仿宋_GB2312" w:hAnsi="仿宋_GB2312" w:cs="仿宋_GB2312" w:eastAsia="仿宋_GB2312"/>
        </w:rPr>
        <w:t>西安市未央区“三无”小区改造工程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SXLX25-01-068Z(G)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西安市未央区“三无”小区改造工程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本项目为对未央区范围内十多个小区局部进行微改造，主要内容包括部分道路改造、围墙改造、雨污水及线缆改造、绿化规整、垃圾清运等；主要功能或目标：对未央区范围内十多个小区局部进行微改造提升群众生活幸福感；需满足的要求:企业需满足相应资质，所有工程施工到位、质量合格（标准符合国家（行业）强制性标准及采购人要求），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采购包1（西安市未央区“三无”小区改造工程）：属于专门面向小微企业采购。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1、拟派项目经理特殊资格要求：拟派项目经理须具备建筑工程专业二级及以上注册建造师证，具备有效的安全生产考核合格证书（B证），在本单位注册，且未担任其他在建工程项目的项目经理（提供承诺书）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2、供应商特殊资格要求：供应商须具备建设部门颁发的建筑工程施工总承包三级及以上资质，具备有效的安全生产许可证。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3、其他要求：供应商基本信息及项目经理基本信息在”陕西省住房和城乡建设厅（http://js.shaanxi.gov.cn/）”可查询 （未按要求提供证明材料或者经核实信息有误的，其不满足特殊资格审查要求的，资格不予审查通过，其响应文件无效）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西安市未央区龙首北路永祥路9号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029-86263349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任甜、郑婧婧、刘晶、李亚男、袁歆雨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采购包1：2,885,026.83元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和国家发改委办公厅颁发的《关于招标代理服务收费有关问题的通知》（发改办价格〔2003〕857号）及《关于进一步放开建设项目专项业务服务价格的通知》（发改价格〔2015〕299号）规定的标准收取，不足捌仟圆按捌仟圆收取，此服务费应计入投标报价中，但不需要单独开列，具体收费金额将在成交公告中公布。 请将采购代理服务费汇至下列指定账户： 开户名称：陕西隆信项目管理有限公司西安第一分公司 开 户 行：招商银行股份有限公司西安土门支行 账 号：129911401910501 财务部电话：029-88489979-8501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西安市未央区住房和城市建设局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联系人：任甜、郑婧婧、刘晶、李亚男、袁歆雨</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2,885,026.83</w:t>
      </w:r>
    </w:p>
    <w:p>
      <w:pPr>
        <w:pStyle w:val="null3"/>
      </w:pPr>
      <w:r>
        <w:rPr>
          <w:rFonts w:ascii="仿宋_GB2312" w:hAnsi="仿宋_GB2312" w:cs="仿宋_GB2312" w:eastAsia="仿宋_GB2312"/>
        </w:rPr>
        <w:t>采购包最高限价（元）: 2,885,026.83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西安市未央区“三无”小区改造工程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2,885,026.83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标的名称：西安市未央区“三无”小区改造工程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1、项目概况</w:t>
            </w:r>
          </w:p>
          <w:p>
            <w:pPr>
              <w:pStyle w:val="null3"/>
              <w:ind w:right="-195" w:firstLine="420"/>
              <w:jc w:val="left"/>
            </w:pPr>
            <w:r>
              <w:rPr>
                <w:rFonts w:ascii="仿宋_GB2312" w:hAnsi="仿宋_GB2312" w:cs="仿宋_GB2312" w:eastAsia="仿宋_GB2312"/>
                <w:sz w:val="21"/>
              </w:rPr>
              <w:t>主要包括：</w:t>
            </w:r>
            <w:r>
              <w:rPr>
                <w:rFonts w:ascii="仿宋_GB2312" w:hAnsi="仿宋_GB2312" w:cs="仿宋_GB2312" w:eastAsia="仿宋_GB2312"/>
                <w:sz w:val="21"/>
              </w:rPr>
              <w:t>本项目为对未央区范围内十多个小区局部进行微改造，主要内容包括部分道路改造、围墙改造、雨污水及线缆改造、绿化规整、垃圾清运等；主要功能或目标：对未央区范围内十多个小</w:t>
            </w:r>
            <w:r>
              <w:rPr>
                <w:rFonts w:ascii="仿宋_GB2312" w:hAnsi="仿宋_GB2312" w:cs="仿宋_GB2312" w:eastAsia="仿宋_GB2312"/>
                <w:sz w:val="21"/>
              </w:rPr>
              <w:t>区局部进行微改造提升群众生活幸福感；需满足的要求：企业需满足相应资质，所有工程施工到位、</w:t>
            </w:r>
            <w:r>
              <w:rPr>
                <w:rFonts w:ascii="仿宋_GB2312" w:hAnsi="仿宋_GB2312" w:cs="仿宋_GB2312" w:eastAsia="仿宋_GB2312"/>
                <w:sz w:val="21"/>
              </w:rPr>
              <w:t>质量合格（标准符合国家（行业）强制性标准及采购人要求），验收合格达到交钥匙工程。</w:t>
            </w:r>
          </w:p>
          <w:p>
            <w:pPr>
              <w:pStyle w:val="null3"/>
              <w:jc w:val="both"/>
            </w:pPr>
            <w:r>
              <w:rPr>
                <w:rFonts w:ascii="仿宋_GB2312" w:hAnsi="仿宋_GB2312" w:cs="仿宋_GB2312" w:eastAsia="仿宋_GB2312"/>
                <w:sz w:val="21"/>
                <w:b/>
              </w:rPr>
              <w:t>2、工程条件</w:t>
            </w:r>
          </w:p>
          <w:p>
            <w:pPr>
              <w:pStyle w:val="null3"/>
              <w:ind w:firstLine="420"/>
              <w:jc w:val="both"/>
            </w:pPr>
            <w:r>
              <w:rPr>
                <w:rFonts w:ascii="仿宋_GB2312" w:hAnsi="仿宋_GB2312" w:cs="仿宋_GB2312" w:eastAsia="仿宋_GB2312"/>
                <w:sz w:val="21"/>
              </w:rPr>
              <w:t>2.1现场具备施工条件。</w:t>
            </w:r>
          </w:p>
          <w:p>
            <w:pPr>
              <w:pStyle w:val="null3"/>
              <w:ind w:firstLine="420"/>
              <w:jc w:val="both"/>
            </w:pPr>
            <w:r>
              <w:rPr>
                <w:rFonts w:ascii="仿宋_GB2312" w:hAnsi="仿宋_GB2312" w:cs="仿宋_GB2312" w:eastAsia="仿宋_GB2312"/>
                <w:sz w:val="21"/>
              </w:rPr>
              <w:t>2.2材料、设备全部由施工方自行采购。</w:t>
            </w:r>
          </w:p>
          <w:p>
            <w:pPr>
              <w:pStyle w:val="null3"/>
              <w:ind w:firstLine="420"/>
              <w:jc w:val="both"/>
            </w:pPr>
            <w:r>
              <w:rPr>
                <w:rFonts w:ascii="仿宋_GB2312" w:hAnsi="仿宋_GB2312" w:cs="仿宋_GB2312" w:eastAsia="仿宋_GB2312"/>
                <w:sz w:val="21"/>
              </w:rPr>
              <w:t>2.3水电设施齐全。</w:t>
            </w:r>
          </w:p>
          <w:p>
            <w:pPr>
              <w:pStyle w:val="null3"/>
              <w:jc w:val="both"/>
            </w:pPr>
            <w:r>
              <w:rPr>
                <w:rFonts w:ascii="仿宋_GB2312" w:hAnsi="仿宋_GB2312" w:cs="仿宋_GB2312" w:eastAsia="仿宋_GB2312"/>
                <w:sz w:val="21"/>
                <w:b/>
              </w:rPr>
              <w:t>3、项目清单及说明</w:t>
            </w:r>
          </w:p>
          <w:p>
            <w:pPr>
              <w:pStyle w:val="null3"/>
              <w:ind w:firstLine="420"/>
              <w:jc w:val="both"/>
            </w:pPr>
            <w:r>
              <w:rPr>
                <w:rFonts w:ascii="仿宋_GB2312" w:hAnsi="仿宋_GB2312" w:cs="仿宋_GB2312" w:eastAsia="仿宋_GB2312"/>
                <w:sz w:val="21"/>
              </w:rPr>
              <w:t>3.1工程量清单：另册，详见附件广联达电子文件招标书。</w:t>
            </w:r>
          </w:p>
          <w:p>
            <w:pPr>
              <w:pStyle w:val="null3"/>
              <w:ind w:firstLine="420"/>
              <w:jc w:val="both"/>
            </w:pPr>
            <w:r>
              <w:rPr>
                <w:rFonts w:ascii="仿宋_GB2312" w:hAnsi="仿宋_GB2312" w:cs="仿宋_GB2312" w:eastAsia="仿宋_GB2312"/>
                <w:sz w:val="21"/>
              </w:rPr>
              <w:t>注：以上工程量为已知范围的工程量，以实际发生工程量为准，进行单价结算，但金额不得</w:t>
            </w:r>
            <w:r>
              <w:rPr>
                <w:rFonts w:ascii="仿宋_GB2312" w:hAnsi="仿宋_GB2312" w:cs="仿宋_GB2312" w:eastAsia="仿宋_GB2312"/>
                <w:sz w:val="21"/>
              </w:rPr>
              <w:t>超过</w:t>
            </w:r>
            <w:r>
              <w:rPr>
                <w:rFonts w:ascii="仿宋_GB2312" w:hAnsi="仿宋_GB2312" w:cs="仿宋_GB2312" w:eastAsia="仿宋_GB2312"/>
                <w:sz w:val="21"/>
              </w:rPr>
              <w:t>合同采购金额的百分之十。</w:t>
            </w:r>
          </w:p>
          <w:p>
            <w:pPr>
              <w:pStyle w:val="null3"/>
              <w:ind w:firstLine="420"/>
              <w:jc w:val="both"/>
            </w:pPr>
            <w:r>
              <w:rPr>
                <w:rFonts w:ascii="仿宋_GB2312" w:hAnsi="仿宋_GB2312" w:cs="仿宋_GB2312" w:eastAsia="仿宋_GB2312"/>
                <w:sz w:val="21"/>
              </w:rPr>
              <w:t>3.2暂列金额、专业工程暂估价、暂估单价等</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3.3 其他：详见电子招标书附件。</w:t>
            </w:r>
          </w:p>
          <w:p>
            <w:pPr>
              <w:pStyle w:val="null3"/>
              <w:ind w:firstLine="420"/>
              <w:jc w:val="both"/>
            </w:pPr>
            <w:r>
              <w:rPr>
                <w:rFonts w:ascii="仿宋_GB2312" w:hAnsi="仿宋_GB2312" w:cs="仿宋_GB2312" w:eastAsia="仿宋_GB2312"/>
                <w:sz w:val="21"/>
              </w:rPr>
              <w:t>3.4本项目最高限价为：2885026.83元</w:t>
            </w:r>
          </w:p>
          <w:tbl>
            <w:tblPr>
              <w:tblBorders>
                <w:top w:val="none" w:color="000000" w:sz="4"/>
                <w:left w:val="none" w:color="000000" w:sz="4"/>
                <w:bottom w:val="none" w:color="000000" w:sz="4"/>
                <w:right w:val="none" w:color="000000" w:sz="4"/>
                <w:insideH w:val="none"/>
                <w:insideV w:val="none"/>
              </w:tblBorders>
            </w:tblPr>
            <w:tblGrid>
              <w:gridCol w:w="0"/>
              <w:gridCol w:w="112"/>
              <w:gridCol w:w="779"/>
              <w:gridCol w:w="730"/>
              <w:gridCol w:w="699"/>
              <w:gridCol w:w="112"/>
              <w:gridCol w:w="112"/>
            </w:tblGrid>
            <w:tr>
              <w:tc>
                <w:tcPr>
                  <w:tcW w:type="dxa" w:w="0"/>
                </w:tcPr>
                <w:p>
                  <w:pPr>
                    <w:pStyle w:val="null3"/>
                  </w:pPr>
                  <w:r>
                    <w:rPr>
                      <w:rFonts w:ascii="仿宋_GB2312" w:hAnsi="仿宋_GB2312" w:cs="仿宋_GB2312" w:eastAsia="仿宋_GB2312"/>
                      <w:sz w:val="19"/>
                    </w:rPr>
                    <w:t xml:space="preserve"> </w:t>
                  </w:r>
                </w:p>
              </w:tc>
              <w:tc>
                <w:tcPr>
                  <w:tcW w:type="dxa" w:w="2544"/>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分部分项及措施费最高限价表</w:t>
                  </w:r>
                </w:p>
              </w:tc>
            </w:tr>
            <w:tr>
              <w:tc>
                <w:tcPr>
                  <w:tcW w:type="dxa" w:w="0"/>
                </w:tcPr>
                <w:p>
                  <w:pPr>
                    <w:pStyle w:val="null3"/>
                  </w:pPr>
                  <w:r>
                    <w:rPr>
                      <w:rFonts w:ascii="仿宋_GB2312" w:hAnsi="仿宋_GB2312" w:cs="仿宋_GB2312" w:eastAsia="仿宋_GB2312"/>
                      <w:sz w:val="19"/>
                    </w:rPr>
                    <w:t xml:space="preserve"> </w:t>
                  </w:r>
                </w:p>
              </w:tc>
              <w:tc>
                <w:tcPr>
                  <w:tcW w:type="dxa" w:w="2544"/>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项目名称：西安市未央区</w:t>
                  </w:r>
                  <w:r>
                    <w:rPr>
                      <w:rFonts w:ascii="仿宋_GB2312" w:hAnsi="仿宋_GB2312" w:cs="仿宋_GB2312" w:eastAsia="仿宋_GB2312"/>
                      <w:sz w:val="20"/>
                      <w:color w:val="000000"/>
                    </w:rPr>
                    <w:t>“三无”小区改造工程</w:t>
                  </w:r>
                </w:p>
              </w:tc>
            </w:tr>
            <w:tr>
              <w:tc>
                <w:tcPr>
                  <w:tcW w:type="dxa" w:w="112"/>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7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工程名称</w:t>
                  </w:r>
                </w:p>
              </w:tc>
              <w:tc>
                <w:tcPr>
                  <w:tcW w:type="dxa" w:w="1429"/>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其中：（元）</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分部分项合计</w:t>
                  </w:r>
                </w:p>
              </w:tc>
              <w:tc>
                <w:tcPr>
                  <w:tcW w:type="dxa" w:w="6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措施项目合计</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沙棘苑</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21908.94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1074.86</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沙棘苑</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21908.94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1074.86</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经达小区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37354.66</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1844.91</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经达小区</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37354.66</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1844.91</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未央分局家属院</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104092.59</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5191.45</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未央分局家属院</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85999.45</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4209.22</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未央分局家属院</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18093.14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982.23</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草滩小学家属院</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117352.41</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6266.52</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草滩小学家属院</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117352.41</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6266.52</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明宫雅居</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43387.12</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2197.9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明宫雅居</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41014.12</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2110.1</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明宫雅居</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2373</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87.8</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香榭园</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284802.27</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14840.42</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香榭园</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255540.59</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13659.95</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香榭园</w:t>
                  </w:r>
                  <w:r>
                    <w:rPr>
                      <w:rFonts w:ascii="仿宋_GB2312" w:hAnsi="仿宋_GB2312" w:cs="仿宋_GB2312" w:eastAsia="仿宋_GB2312"/>
                      <w:sz w:val="20"/>
                      <w:color w:val="000000"/>
                    </w:rPr>
                    <w:t>-安装</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522.54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23.06</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香榭园</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28739.14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1157.41</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灞柳春天</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231518.17</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12603.64</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灞柳春天</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229157.98</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12508.05</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灞柳春天</w:t>
                  </w:r>
                  <w:r>
                    <w:rPr>
                      <w:rFonts w:ascii="仿宋_GB2312" w:hAnsi="仿宋_GB2312" w:cs="仿宋_GB2312" w:eastAsia="仿宋_GB2312"/>
                      <w:sz w:val="20"/>
                      <w:color w:val="000000"/>
                    </w:rPr>
                    <w:t>-安装</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660.19</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32.69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灞柳春天</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华油小区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290419.76</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15823.84</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华油小区</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279496.02</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15139.05</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华油小区</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10923.74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684.79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丽舍春天小区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767874.54</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41196.33</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丽舍春天小区</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674448.79</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36985.95</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丽舍春天小区</w:t>
                  </w:r>
                  <w:r>
                    <w:rPr>
                      <w:rFonts w:ascii="仿宋_GB2312" w:hAnsi="仿宋_GB2312" w:cs="仿宋_GB2312" w:eastAsia="仿宋_GB2312"/>
                      <w:sz w:val="20"/>
                      <w:color w:val="000000"/>
                    </w:rPr>
                    <w:t>-绿化</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93425.75</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4210.38</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东三厂小区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609591.66</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30623.52</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东三厂小区</w:t>
                  </w:r>
                  <w:r>
                    <w:rPr>
                      <w:rFonts w:ascii="仿宋_GB2312" w:hAnsi="仿宋_GB2312" w:cs="仿宋_GB2312" w:eastAsia="仿宋_GB2312"/>
                      <w:sz w:val="20"/>
                      <w:color w:val="000000"/>
                    </w:rPr>
                    <w:t>-土建</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585509.05</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29265.19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东三厂小区</w:t>
                  </w:r>
                  <w:r>
                    <w:rPr>
                      <w:rFonts w:ascii="仿宋_GB2312" w:hAnsi="仿宋_GB2312" w:cs="仿宋_GB2312" w:eastAsia="仿宋_GB2312"/>
                      <w:sz w:val="20"/>
                      <w:color w:val="000000"/>
                    </w:rPr>
                    <w:t>-安装</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24082.61</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1358.33</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89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2508302.12</w:t>
                  </w:r>
                </w:p>
              </w:tc>
              <w:tc>
                <w:tcPr>
                  <w:tcW w:type="dxa" w:w="6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131663.39</w:t>
                  </w:r>
                </w:p>
              </w:tc>
              <w:tc>
                <w:tcPr>
                  <w:tcW w:type="dxa" w:w="22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ind w:firstLine="420"/>
              <w:jc w:val="both"/>
            </w:pPr>
            <w:r>
              <w:rPr>
                <w:rFonts w:ascii="仿宋_GB2312" w:hAnsi="仿宋_GB2312" w:cs="仿宋_GB2312" w:eastAsia="仿宋_GB2312"/>
                <w:sz w:val="21"/>
                <w:b/>
              </w:rPr>
              <w:t>4.工期及质量要求</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工期：</w:t>
            </w:r>
            <w:r>
              <w:rPr>
                <w:rFonts w:ascii="仿宋_GB2312" w:hAnsi="仿宋_GB2312" w:cs="仿宋_GB2312" w:eastAsia="仿宋_GB2312"/>
                <w:sz w:val="20"/>
                <w:b/>
              </w:rPr>
              <w:t>30</w:t>
            </w:r>
            <w:r>
              <w:rPr>
                <w:rFonts w:ascii="仿宋_GB2312" w:hAnsi="仿宋_GB2312" w:cs="仿宋_GB2312" w:eastAsia="仿宋_GB2312"/>
                <w:sz w:val="20"/>
                <w:b/>
              </w:rPr>
              <w:t>日历天</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质量要求：</w:t>
            </w:r>
            <w:r>
              <w:rPr>
                <w:rFonts w:ascii="仿宋_GB2312" w:hAnsi="仿宋_GB2312" w:cs="仿宋_GB2312" w:eastAsia="仿宋_GB2312"/>
                <w:sz w:val="20"/>
                <w:b/>
              </w:rPr>
              <w:t>合格</w:t>
            </w:r>
          </w:p>
          <w:p>
            <w:pPr>
              <w:pStyle w:val="null3"/>
              <w:ind w:firstLine="420"/>
              <w:jc w:val="both"/>
            </w:pPr>
            <w:r>
              <w:rPr>
                <w:rFonts w:ascii="仿宋_GB2312" w:hAnsi="仿宋_GB2312" w:cs="仿宋_GB2312" w:eastAsia="仿宋_GB2312"/>
                <w:sz w:val="21"/>
              </w:rPr>
              <w:t>4.3缺陷责任期：</w:t>
            </w:r>
            <w:r>
              <w:rPr>
                <w:rFonts w:ascii="仿宋_GB2312" w:hAnsi="仿宋_GB2312" w:cs="仿宋_GB2312" w:eastAsia="仿宋_GB2312"/>
                <w:sz w:val="20"/>
                <w:b/>
              </w:rPr>
              <w:t>缺陷责任期为</w:t>
            </w:r>
            <w:r>
              <w:rPr>
                <w:rFonts w:ascii="仿宋_GB2312" w:hAnsi="仿宋_GB2312" w:cs="仿宋_GB2312" w:eastAsia="仿宋_GB2312"/>
                <w:sz w:val="20"/>
                <w:b/>
              </w:rPr>
              <w:t>2年</w:t>
            </w:r>
            <w:r>
              <w:rPr>
                <w:rFonts w:ascii="仿宋_GB2312" w:hAnsi="仿宋_GB2312" w:cs="仿宋_GB2312" w:eastAsia="仿宋_GB2312"/>
                <w:sz w:val="21"/>
              </w:rPr>
              <w:t>（缺陷责任期自工程通过竣工验收之日计算）</w:t>
            </w:r>
          </w:p>
          <w:p>
            <w:pPr>
              <w:pStyle w:val="null3"/>
              <w:ind w:firstLine="420"/>
              <w:jc w:val="both"/>
            </w:pPr>
            <w:r>
              <w:rPr>
                <w:rFonts w:ascii="仿宋_GB2312" w:hAnsi="仿宋_GB2312" w:cs="仿宋_GB2312" w:eastAsia="仿宋_GB2312"/>
                <w:sz w:val="21"/>
              </w:rPr>
              <w:t>4.4质量保修期：</w:t>
            </w:r>
            <w:r>
              <w:rPr>
                <w:rFonts w:ascii="仿宋_GB2312" w:hAnsi="仿宋_GB2312" w:cs="仿宋_GB2312" w:eastAsia="仿宋_GB2312"/>
                <w:sz w:val="20"/>
                <w:b/>
              </w:rPr>
              <w:t>①整体质量保修期为工程验收合格后2年</w:t>
            </w:r>
            <w:r>
              <w:rPr>
                <w:rFonts w:ascii="仿宋_GB2312" w:hAnsi="仿宋_GB2312" w:cs="仿宋_GB2312" w:eastAsia="仿宋_GB2312"/>
                <w:sz w:val="21"/>
              </w:rPr>
              <w:t>，供应商承诺超过磋商文件要求的，按其承诺</w:t>
            </w:r>
            <w:r>
              <w:rPr>
                <w:rFonts w:ascii="仿宋_GB2312" w:hAnsi="仿宋_GB2312" w:cs="仿宋_GB2312" w:eastAsia="仿宋_GB2312"/>
                <w:sz w:val="21"/>
              </w:rPr>
              <w:t>的</w:t>
            </w:r>
            <w:r>
              <w:rPr>
                <w:rFonts w:ascii="仿宋_GB2312" w:hAnsi="仿宋_GB2312" w:cs="仿宋_GB2312" w:eastAsia="仿宋_GB2312"/>
                <w:sz w:val="21"/>
              </w:rPr>
              <w:t>工程质量保修期（起始时间为终验合格之日）；</w:t>
            </w:r>
            <w:r>
              <w:rPr>
                <w:rFonts w:ascii="仿宋_GB2312" w:hAnsi="仿宋_GB2312" w:cs="仿宋_GB2312" w:eastAsia="仿宋_GB2312"/>
                <w:sz w:val="21"/>
              </w:rPr>
              <w:t>②部分工程的质量保修期根据《建设工程质量管理条例》及有关规定执行；③工程质量保修期出现的质量问题由供应商负责，保修内容为由施工方负责的本工程全部质量问题，响应时间为正常工作日2小时内答复，12小时内到现场处理。节假日及法定休息日6小时内答复，24小时内到现场处理。</w:t>
            </w:r>
          </w:p>
          <w:p>
            <w:pPr>
              <w:pStyle w:val="null3"/>
              <w:jc w:val="both"/>
            </w:pPr>
            <w:r>
              <w:rPr>
                <w:rFonts w:ascii="仿宋_GB2312" w:hAnsi="仿宋_GB2312" w:cs="仿宋_GB2312" w:eastAsia="仿宋_GB2312"/>
                <w:sz w:val="21"/>
                <w:b/>
              </w:rPr>
              <w:t>5、其他要求或说明</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本项目所属行业</w:t>
            </w:r>
            <w:r>
              <w:rPr>
                <w:rFonts w:ascii="仿宋_GB2312" w:hAnsi="仿宋_GB2312" w:cs="仿宋_GB2312" w:eastAsia="仿宋_GB2312"/>
                <w:sz w:val="21"/>
                <w:u w:val="single"/>
              </w:rPr>
              <w:t>（建筑业）</w:t>
            </w:r>
            <w:r>
              <w:rPr>
                <w:rFonts w:ascii="仿宋_GB2312" w:hAnsi="仿宋_GB2312" w:cs="仿宋_GB2312" w:eastAsia="仿宋_GB2312"/>
                <w:sz w:val="21"/>
              </w:rPr>
              <w:t>，划型标准为：营业收入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  </w:t>
            </w:r>
            <w:r>
              <w:rPr>
                <w:rFonts w:ascii="仿宋_GB2312" w:hAnsi="仿宋_GB2312" w:cs="仿宋_GB2312" w:eastAsia="仿宋_GB2312"/>
                <w:sz w:val="21"/>
              </w:rPr>
              <w:t>，不提供强制节能产品的按无效响应处理。</w:t>
            </w:r>
            <w:r>
              <w:rPr>
                <w:rFonts w:ascii="仿宋_GB2312" w:hAnsi="仿宋_GB2312" w:cs="仿宋_GB2312" w:eastAsia="仿宋_GB2312"/>
                <w:sz w:val="21"/>
              </w:rPr>
              <w:t>（强制节能、环保产品应在</w:t>
            </w:r>
            <w:r>
              <w:rPr>
                <w:rFonts w:ascii="仿宋_GB2312" w:hAnsi="仿宋_GB2312" w:cs="仿宋_GB2312" w:eastAsia="仿宋_GB2312"/>
                <w:sz w:val="21"/>
              </w:rPr>
              <w:t>“强制优先采购产品承诺函”中进行承诺，并在“商务技术部分”中按要求强制节能产品</w:t>
            </w:r>
            <w:r>
              <w:rPr>
                <w:rFonts w:ascii="仿宋_GB2312" w:hAnsi="仿宋_GB2312" w:cs="仿宋_GB2312" w:eastAsia="仿宋_GB2312"/>
                <w:sz w:val="21"/>
              </w:rPr>
              <w:t>认证。</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（1）符合《绿色建筑和绿色建材政府采购需求标准》《建筑工程施工质量验收统一标准》GB50300-2013等相关国家及行业标准； （2）本工程的施工过程和成果必须符合国家有关工程建设标准强制性条文和国家或有关部门关于工程施工方面现行的标准、规范、规程、定额、办法、示例，以及陕西省关于工程施工方面的文件、规定； （3）施工方在施工过程中使用或参考上述标准、规范以外的技术标准、规范时，应征得采购人或采购人指定代表人的同意； （4）在施工过程中，如果国家或有关部门颁布了新的技术标准或规范，则施工方应采用新的标准或规范进行施工； （5）施工方按《建筑工程施工质量验收统一标准》GB50300-2013及国家、陕西省、西安市相关规定，完成验收后，进行工程竣工验收；竣工验收后一个月内，提交竣工图及完整资料文件四套。</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（1）材料供应要求 ①选用的主材、设备、辅材必须国家名优产品，并明确其品牌、规格、型号、产地，并附鉴定证书，对主要设备材料必须先提交样品，经鉴定确认后，方可订货，不得使用未经检验或不合格的设备、材料，若发生此种情况，将追究相关人员责任，并赔偿由此造成的一切经济损失； ②施工方供应的材料应按合同规定按时、按质、按量供应，项目所需主要施工材料、设备等辅助材料均由施工方负责供应，必须满足设计要求和国家有关标准，并应具有合格证等质量证明资料，且经采购人确认后方可使用；采购人采用抽检办法责成供应商分批次进行检测，费用由施工方承担； ③因材料质量不合格所造成的损失（包括仓库保管费）由材料施工方自行负责； ④因材料供应不及时造成停工待料时，其停、窝工等损失由施工方承担。 （2）工程技术要求 ①施工方根据工程实际情况编制施工方案，制定工期进度安排表，并随响应文件一并提交采购人； ②施工过程中严格遵守采购人单位的各种管理规定及规章制度，做到文明施工；所有施工人员需统一着装统一单位标识，严禁随意通行；发生工伤及意外事故由施工方负责； ③严格按照国家和陕西省有关规定施工、规范施工，确保工程合格，如有更改须事先征得有关方面的同意，并在采购人落实后实施，并出具书面说明； ④施工期间需采取必要措施确保现场正常运行； ⑤项目团队成员配备要求：施工方应成立项目管理组织机构，项目组成员结构合理、分工明确，并保证项目组成员具有相应资格或职称证书，持证上岗；项目组人员须包含项目负责人、技术负责人、管理人员、安全专职人员、质检人员、资料员、专业的施工人员；施工队伍稳定，确保整个工程按期限按质量顺利完工；施工方单位未经采购人同意，不得擅自更换本工程在响应文件中指定的项目施工负责人（项目经理）及施工队伍；项目所需的机械设备及工具都为施工方自备，采购人不提供任何机械设备及工具； ⑥施工期间，施工方必须注意施工区域内人员安全，加强安全措施，并对施工人员进行安全教育，施工人员均应严格按照相关技术规范进行施工，做到安全施工且不影响交通；如因措施不力造成人员伤亡或财产损失等一切事故，施工方负全责并承担所有费用。 ⑦合理安排作业时间，合理降低噪音污染、粉尘污染，确保施工现场周围的正常工作与休息，按国家有关施工时间规定进行施工，施工中避免给他人带来干扰。 ⑧安全文明施工要求：必须做好施工现场组织管理、文明施工，维护现场秩序，做到工完场清、道路畅通，建筑垃圾不得随意堆放；根据施工现场采取不同的围挡方式进行围挡作业，做到封闭性施工并设有施工告示牌，严禁用进场材料做防护；施工方负责办理建筑垃圾外运有关手续，由施工方自行联系运至项目所在辖区地以外的建筑垃圾堆放场所并承担相应的费用；施工过程中当天产生的废渣、垃圾等应在当天施工结束后清理完毕，做到工完料尽场地清； ⑨工程实施必须完全符合合同规定的技术、方案、质量、规格、材质等要求；根据实际需要，施工方应在工程施工实施期间进行巡查，若出现质量问题，应及时对工程出现的问题进行维修，并承担维修期间产生的一切费用；因施工方原因工程质量达不到约定的质量标准，由施工方自行承担相关责任。 ⑩施工方应对工程过程中所出现的问题及时进行解决、调整，并做好记录，质量标准以达到采购文件中所规定的全部相关要求为准，如果发现与详细需求不符或达不到规定的性能指标，采购人有权拒绝付款或付款时间段推迟付款且不承担任何违约责任，施工方不得以此为由停止履行本项目的任意义务。 ⑪施工方在工程缺陷责任期内，应按照有关法律、法规规定和双方合同条款约定，承担本工程的质量保修责任，工程缺陷责任期过后，如出现质量问题，亦应积极协助解决，施工方的售后服务要完善、可靠、及时，并派遣相关技术人员配合采购人检查、维修。 ⑫其他未详之处均应遵照国家现行有关规范。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设备费、人工费、管理费、材料与设备费、安装费、维护费、保险费、采购代理费、税金、利润、政策性规费、风险、责任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磋商文件中的附件“资格证明文件”格式要求提供合法有效的证明资料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提供原件的扫描件或电子证照，供应商需在项目电子化交易系统中按采购文件中的附件“资格证明文件”格式要求上传相关证明资料并进行电子签章。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供应商需在项目电子化交易系统中按采购文件中的附件“资格证明文件”格式要求上传相关证明资料并进行电子签章。 授权委托书后须附委托代理人至提交响应文件截止时间前三个月内任意时段在本单位注册的已缴纳的社会保障资金缴存单据或社保机构开具的社会保险参保缴费情况证明。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拟派项目经理特殊资格要求</w:t>
            </w:r>
          </w:p>
        </w:tc>
        <w:tc>
          <w:tcPr>
            <w:tcW w:type="dxa" w:w="332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供应商须具备建设部门颁发的建筑工程施工总承包三级及以上资质，具备有效的安全生产许可证。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供应商基本信息及项目经理基本信息在”陕西省住房和城乡建设厅（http://js.shaanxi.gov.cn/）”可查询 （未按要求提供证明材料或者经核实信息有误的，其不满足特殊资格审查要求的，资格不予审查通过，其响应文件无效）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符合磋商文件有关签署、盖章要求（注：不得因个别遗漏或瑕疵等签署或盖章问题限制和影响供应商响应）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符合响应文件中相关要求（注：不得因文件排序、页码、计量统一等非实质性的格式、形式问题限制和影响供应商响应)</w:t>
            </w:r>
          </w:p>
        </w:tc>
        <w:tc>
          <w:tcPr>
            <w:tcW w:type="dxa" w:w="1661"/>
          </w:tcPr>
          <w:p>
            <w:pPr>
              <w:pStyle w:val="null3"/>
            </w:pPr>
            <w:r>
              <w:rPr>
                <w:rFonts w:ascii="仿宋_GB2312" w:hAnsi="仿宋_GB2312" w:cs="仿宋_GB2312" w:eastAsia="仿宋_GB2312"/>
              </w:rPr>
              <w:t>响应文件封面 报价函 响应函 资格证明文件.docx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只能有一个有效报价，不得提交选择性报价，且报价不超过磋商文件中规定的采购预算金额、最高限价、分部分项报价及措施项目费最高限价</w:t>
            </w:r>
          </w:p>
        </w:tc>
        <w:tc>
          <w:tcPr>
            <w:tcW w:type="dxa" w:w="1661"/>
          </w:tcPr>
          <w:p>
            <w:pPr>
              <w:pStyle w:val="null3"/>
            </w:pPr>
            <w:r>
              <w:rPr>
                <w:rFonts w:ascii="仿宋_GB2312" w:hAnsi="仿宋_GB2312" w:cs="仿宋_GB2312" w:eastAsia="仿宋_GB2312"/>
              </w:rPr>
              <w:t>已标价工程量清单 报价函 标的清单 资格证明文件.docx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资格证明文件.docx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符合磋商文件中的实质性（★号）条款要求，且未含有采购人不能接受的附加条件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报价函 标的清单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 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暂列金额、专业工程暂估价、暂估单价等（如有）</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已标价工程量清单 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施工进度组织措施</w:t>
            </w:r>
          </w:p>
        </w:tc>
        <w:tc>
          <w:tcPr>
            <w:tcW w:type="dxa" w:w="2492"/>
          </w:tcPr>
          <w:p>
            <w:pPr>
              <w:pStyle w:val="null3"/>
            </w:pPr>
            <w:r>
              <w:rPr>
                <w:rFonts w:ascii="仿宋_GB2312" w:hAnsi="仿宋_GB2312" w:cs="仿宋_GB2312" w:eastAsia="仿宋_GB2312"/>
              </w:rPr>
              <w:t>根据响应程度赋0-4分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根据其响应程度得0-2分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具有2022年1月1日起至今（时间以合同签订时间为准）的房屋建筑工程类项目业绩，业绩以合同的扫描件（复印件）为依据；每提供1个业绩得2分，最多得10分。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45 （最低报价不是中标（成交）的唯一依据）</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