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版本号：HHGJZC2025-CS31820250827002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教学楼改造提升、操场改造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HHGJZC2025-CS318</w:t>
      </w:r>
      <w:r>
        <w:br/>
      </w:r>
      <w:r>
        <w:br/>
      </w:r>
      <w:r>
        <w:br/>
      </w:r>
    </w:p>
    <w:p>
      <w:pPr>
        <w:pStyle w:val="null3"/>
        <w:jc w:val="center"/>
        <w:outlineLvl w:val="2"/>
      </w:pPr>
      <w:r>
        <w:rPr>
          <w:rFonts w:ascii="仿宋_GB2312" w:hAnsi="仿宋_GB2312" w:cs="仿宋_GB2312" w:eastAsia="仿宋_GB2312"/>
          <w:sz w:val="28"/>
          <w:b/>
        </w:rPr>
        <w:t>西安市未央区大明宫小学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西安市未央区大明宫小学</w:t>
      </w:r>
      <w:r>
        <w:rPr>
          <w:rFonts w:ascii="仿宋_GB2312" w:hAnsi="仿宋_GB2312" w:cs="仿宋_GB2312" w:eastAsia="仿宋_GB2312"/>
        </w:rPr>
        <w:t>委托，拟对</w:t>
      </w:r>
      <w:r>
        <w:rPr>
          <w:rFonts w:ascii="仿宋_GB2312" w:hAnsi="仿宋_GB2312" w:cs="仿宋_GB2312" w:eastAsia="仿宋_GB2312"/>
        </w:rPr>
        <w:t>教学楼改造提升、操场改造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HHGJZC2025-CS318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教学楼改造提升、操场改造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教学楼改造提升、操场改造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采购包1（教学楼改造提升、操场改造）：属于专门面向中小企业采购。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2、拟派项目经理资质要求：拟派项目经理具备建筑工程专业二级及以上注册建造师证书和安全生产考核合格证，在本单位注册且无在建项目（提供无在建承诺书）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3、供应商资质要求：供应商具有建设行政主管部门颁发的建筑工程施工总承包三级及以上资质，且具备有效的安全生产许可证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西安市未央区大明宫小学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凤城一路东段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029-81711800-8004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采购包1：1,068,215.43元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西安市未央区大明宫小学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西安市未央区大明宫小学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西安市未央区大明宫小学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联系人：陕西华海国际项目管理有限公司</w:t>
      </w:r>
    </w:p>
    <w:p>
      <w:pPr>
        <w:pStyle w:val="null3"/>
      </w:pPr>
      <w:r>
        <w:rPr>
          <w:rFonts w:ascii="仿宋_GB2312" w:hAnsi="仿宋_GB2312" w:cs="仿宋_GB2312" w:eastAsia="仿宋_GB2312"/>
        </w:rPr>
        <w:t>联系电话：吕博延</w:t>
      </w:r>
    </w:p>
    <w:p>
      <w:pPr>
        <w:pStyle w:val="null3"/>
      </w:pPr>
      <w:r>
        <w:rPr>
          <w:rFonts w:ascii="仿宋_GB2312" w:hAnsi="仿宋_GB2312" w:cs="仿宋_GB2312" w:eastAsia="仿宋_GB2312"/>
        </w:rPr>
        <w:t>地址：029-89164609</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1,068,215.43</w:t>
      </w:r>
    </w:p>
    <w:p>
      <w:pPr>
        <w:pStyle w:val="null3"/>
      </w:pPr>
      <w:r>
        <w:rPr>
          <w:rFonts w:ascii="仿宋_GB2312" w:hAnsi="仿宋_GB2312" w:cs="仿宋_GB2312" w:eastAsia="仿宋_GB2312"/>
        </w:rPr>
        <w:t>采购包最高限价（元）: 1,068,215.43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教学楼改造提升、操场改造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1,068,215.43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标的名称：教学楼改造提升、操场改造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4"/>
              <w:gridCol w:w="199"/>
              <w:gridCol w:w="2030"/>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技术要求及工程量清单详见附件</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工期：</w:t>
                  </w:r>
                  <w:r>
                    <w:rPr>
                      <w:rFonts w:ascii="仿宋_GB2312" w:hAnsi="仿宋_GB2312" w:cs="仿宋_GB2312" w:eastAsia="仿宋_GB2312"/>
                      <w:sz w:val="21"/>
                      <w:color w:val="2E75B5"/>
                    </w:rPr>
                    <w:t>30日历天</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质保期：操场改造工程：项目完成，验收合格后</w:t>
                  </w:r>
                  <w:r>
                    <w:rPr>
                      <w:rFonts w:ascii="仿宋_GB2312" w:hAnsi="仿宋_GB2312" w:cs="仿宋_GB2312" w:eastAsia="仿宋_GB2312"/>
                      <w:sz w:val="21"/>
                      <w:color w:val="2E75B5"/>
                    </w:rPr>
                    <w:t>5年；其余部分：项目完成，验收合格后2年。</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E75B5"/>
                    </w:rPr>
                    <w:t>分项报价不得超出单项工程标的金额</w:t>
                  </w:r>
                </w:p>
                <w:p>
                  <w:pPr>
                    <w:pStyle w:val="null3"/>
                    <w:jc w:val="left"/>
                  </w:pPr>
                  <w:r>
                    <w:rPr>
                      <w:rFonts w:ascii="仿宋_GB2312" w:hAnsi="仿宋_GB2312" w:cs="仿宋_GB2312" w:eastAsia="仿宋_GB2312"/>
                      <w:sz w:val="21"/>
                      <w:color w:val="2E75B5"/>
                    </w:rPr>
                    <w:t>1西安市未央区大明宫小学教学楼外立面提升改造工程</w:t>
                  </w:r>
                  <w:r>
                    <w:rPr>
                      <w:rFonts w:ascii="仿宋_GB2312" w:hAnsi="仿宋_GB2312" w:cs="仿宋_GB2312" w:eastAsia="仿宋_GB2312"/>
                      <w:sz w:val="19"/>
                    </w:rPr>
                    <w:t xml:space="preserve"> </w:t>
                  </w:r>
                  <w:r>
                    <w:rPr>
                      <w:rFonts w:ascii="仿宋_GB2312" w:hAnsi="仿宋_GB2312" w:cs="仿宋_GB2312" w:eastAsia="仿宋_GB2312"/>
                      <w:sz w:val="21"/>
                      <w:color w:val="2E75B5"/>
                    </w:rPr>
                    <w:t>标的金额：</w:t>
                  </w:r>
                  <w:r>
                    <w:rPr>
                      <w:rFonts w:ascii="仿宋_GB2312" w:hAnsi="仿宋_GB2312" w:cs="仿宋_GB2312" w:eastAsia="仿宋_GB2312"/>
                      <w:sz w:val="21"/>
                      <w:color w:val="2E75B5"/>
                    </w:rPr>
                    <w:t>483,943.49元</w:t>
                  </w:r>
                </w:p>
                <w:p>
                  <w:pPr>
                    <w:pStyle w:val="null3"/>
                    <w:jc w:val="left"/>
                  </w:pPr>
                  <w:r>
                    <w:rPr>
                      <w:rFonts w:ascii="仿宋_GB2312" w:hAnsi="仿宋_GB2312" w:cs="仿宋_GB2312" w:eastAsia="仿宋_GB2312"/>
                      <w:sz w:val="21"/>
                      <w:color w:val="2E75B5"/>
                    </w:rPr>
                    <w:t>1.1教学楼外立面工程  标的金额：429,563.59元</w:t>
                  </w:r>
                </w:p>
                <w:p>
                  <w:pPr>
                    <w:pStyle w:val="null3"/>
                    <w:jc w:val="left"/>
                  </w:pPr>
                  <w:r>
                    <w:rPr>
                      <w:rFonts w:ascii="仿宋_GB2312" w:hAnsi="仿宋_GB2312" w:cs="仿宋_GB2312" w:eastAsia="仿宋_GB2312"/>
                      <w:sz w:val="21"/>
                      <w:color w:val="2E75B5"/>
                    </w:rPr>
                    <w:t>1.1.1分部分项工程项目费 标的金额：366,964.89元</w:t>
                  </w:r>
                </w:p>
                <w:p>
                  <w:pPr>
                    <w:pStyle w:val="null3"/>
                    <w:jc w:val="left"/>
                  </w:pPr>
                  <w:r>
                    <w:rPr>
                      <w:rFonts w:ascii="仿宋_GB2312" w:hAnsi="仿宋_GB2312" w:cs="仿宋_GB2312" w:eastAsia="仿宋_GB2312"/>
                      <w:sz w:val="21"/>
                      <w:color w:val="2E75B5"/>
                    </w:rPr>
                    <w:t xml:space="preserve">1.1.2措施项目费 标的金额：26,491.44元  </w:t>
                  </w:r>
                </w:p>
                <w:p>
                  <w:pPr>
                    <w:pStyle w:val="null3"/>
                    <w:jc w:val="left"/>
                  </w:pPr>
                  <w:r>
                    <w:rPr>
                      <w:rFonts w:ascii="仿宋_GB2312" w:hAnsi="仿宋_GB2312" w:cs="仿宋_GB2312" w:eastAsia="仿宋_GB2312"/>
                      <w:sz w:val="21"/>
                      <w:color w:val="2E75B5"/>
                    </w:rPr>
                    <w:t>1.1.3安全文明施工费 标的金额：15,876.15元</w:t>
                  </w:r>
                </w:p>
                <w:p>
                  <w:pPr>
                    <w:pStyle w:val="null3"/>
                    <w:jc w:val="left"/>
                  </w:pPr>
                  <w:r>
                    <w:rPr>
                      <w:rFonts w:ascii="仿宋_GB2312" w:hAnsi="仿宋_GB2312" w:cs="仿宋_GB2312" w:eastAsia="仿宋_GB2312"/>
                      <w:sz w:val="21"/>
                      <w:color w:val="2E75B5"/>
                    </w:rPr>
                    <w:t>1.2室外管沟土方 标的金额：49,027.55元</w:t>
                  </w:r>
                </w:p>
                <w:p>
                  <w:pPr>
                    <w:pStyle w:val="null3"/>
                    <w:jc w:val="left"/>
                  </w:pPr>
                  <w:r>
                    <w:rPr>
                      <w:rFonts w:ascii="仿宋_GB2312" w:hAnsi="仿宋_GB2312" w:cs="仿宋_GB2312" w:eastAsia="仿宋_GB2312"/>
                      <w:sz w:val="21"/>
                      <w:color w:val="2E75B5"/>
                    </w:rPr>
                    <w:t>1.2.1分部分项工程项目费 标的金额：42,530.14元</w:t>
                  </w:r>
                </w:p>
                <w:p>
                  <w:pPr>
                    <w:pStyle w:val="null3"/>
                    <w:jc w:val="left"/>
                  </w:pPr>
                  <w:r>
                    <w:rPr>
                      <w:rFonts w:ascii="仿宋_GB2312" w:hAnsi="仿宋_GB2312" w:cs="仿宋_GB2312" w:eastAsia="仿宋_GB2312"/>
                      <w:sz w:val="21"/>
                      <w:color w:val="2E75B5"/>
                    </w:rPr>
                    <w:t xml:space="preserve">1.2.2措施项目费 标的金额：2,353.88元  </w:t>
                  </w:r>
                </w:p>
                <w:p>
                  <w:pPr>
                    <w:pStyle w:val="null3"/>
                    <w:jc w:val="left"/>
                  </w:pPr>
                  <w:r>
                    <w:rPr>
                      <w:rFonts w:ascii="仿宋_GB2312" w:hAnsi="仿宋_GB2312" w:cs="仿宋_GB2312" w:eastAsia="仿宋_GB2312"/>
                      <w:sz w:val="21"/>
                      <w:color w:val="2E75B5"/>
                    </w:rPr>
                    <w:t>1.2.3安全文明施工费 标的金额：1,891.67元</w:t>
                  </w:r>
                </w:p>
                <w:p>
                  <w:pPr>
                    <w:pStyle w:val="null3"/>
                    <w:jc w:val="left"/>
                  </w:pPr>
                  <w:r>
                    <w:rPr>
                      <w:rFonts w:ascii="仿宋_GB2312" w:hAnsi="仿宋_GB2312" w:cs="仿宋_GB2312" w:eastAsia="仿宋_GB2312"/>
                      <w:sz w:val="21"/>
                      <w:color w:val="2E75B5"/>
                    </w:rPr>
                    <w:t>1.3教学楼给排水工程 标的金额：5,352.35元</w:t>
                  </w:r>
                </w:p>
                <w:p>
                  <w:pPr>
                    <w:pStyle w:val="null3"/>
                    <w:jc w:val="left"/>
                  </w:pPr>
                  <w:r>
                    <w:rPr>
                      <w:rFonts w:ascii="仿宋_GB2312" w:hAnsi="仿宋_GB2312" w:cs="仿宋_GB2312" w:eastAsia="仿宋_GB2312"/>
                      <w:sz w:val="21"/>
                      <w:color w:val="2E75B5"/>
                    </w:rPr>
                    <w:t>1.3.1分部分项工程项目费 标的金额：4,716.77元</w:t>
                  </w:r>
                </w:p>
                <w:p>
                  <w:pPr>
                    <w:pStyle w:val="null3"/>
                    <w:jc w:val="left"/>
                  </w:pPr>
                  <w:r>
                    <w:rPr>
                      <w:rFonts w:ascii="仿宋_GB2312" w:hAnsi="仿宋_GB2312" w:cs="仿宋_GB2312" w:eastAsia="仿宋_GB2312"/>
                      <w:sz w:val="21"/>
                      <w:color w:val="2E75B5"/>
                    </w:rPr>
                    <w:t xml:space="preserve">1.3.2措施项目费 标的金额：227.57元  </w:t>
                  </w:r>
                </w:p>
                <w:p>
                  <w:pPr>
                    <w:pStyle w:val="null3"/>
                    <w:jc w:val="left"/>
                  </w:pPr>
                  <w:r>
                    <w:rPr>
                      <w:rFonts w:ascii="仿宋_GB2312" w:hAnsi="仿宋_GB2312" w:cs="仿宋_GB2312" w:eastAsia="仿宋_GB2312"/>
                      <w:sz w:val="21"/>
                      <w:color w:val="2E75B5"/>
                    </w:rPr>
                    <w:t>1.3.3安全文明施工费 标的金额：199.29元</w:t>
                  </w:r>
                </w:p>
                <w:p>
                  <w:pPr>
                    <w:pStyle w:val="null3"/>
                    <w:jc w:val="left"/>
                  </w:pPr>
                  <w:r>
                    <w:rPr>
                      <w:rFonts w:ascii="仿宋_GB2312" w:hAnsi="仿宋_GB2312" w:cs="仿宋_GB2312" w:eastAsia="仿宋_GB2312"/>
                      <w:sz w:val="21"/>
                      <w:color w:val="2E75B5"/>
                    </w:rPr>
                    <w:t>2 大明宫小学操场维修改造工程 标的金额：584,271.94元</w:t>
                  </w:r>
                </w:p>
                <w:p>
                  <w:pPr>
                    <w:pStyle w:val="null3"/>
                    <w:jc w:val="left"/>
                  </w:pPr>
                  <w:r>
                    <w:rPr>
                      <w:rFonts w:ascii="仿宋_GB2312" w:hAnsi="仿宋_GB2312" w:cs="仿宋_GB2312" w:eastAsia="仿宋_GB2312"/>
                      <w:sz w:val="21"/>
                      <w:color w:val="2E75B5"/>
                    </w:rPr>
                    <w:t>2.1分部分项工程项目费 标的金额：510,634.20元</w:t>
                  </w:r>
                </w:p>
                <w:p>
                  <w:pPr>
                    <w:pStyle w:val="null3"/>
                    <w:jc w:val="left"/>
                  </w:pPr>
                  <w:r>
                    <w:rPr>
                      <w:rFonts w:ascii="仿宋_GB2312" w:hAnsi="仿宋_GB2312" w:cs="仿宋_GB2312" w:eastAsia="仿宋_GB2312"/>
                      <w:sz w:val="21"/>
                      <w:color w:val="2E75B5"/>
                    </w:rPr>
                    <w:t xml:space="preserve">2.1.2措施项目费 标的金额：24,526.37元  </w:t>
                  </w:r>
                </w:p>
                <w:p>
                  <w:pPr>
                    <w:pStyle w:val="null3"/>
                    <w:jc w:val="left"/>
                  </w:pPr>
                  <w:r>
                    <w:rPr>
                      <w:rFonts w:ascii="仿宋_GB2312" w:hAnsi="仿宋_GB2312" w:cs="仿宋_GB2312" w:eastAsia="仿宋_GB2312"/>
                      <w:sz w:val="21"/>
                      <w:color w:val="2E75B5"/>
                    </w:rPr>
                    <w:t>2.1.3安全文明施工费 标的金额：21,689.63元</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残疾人福利性单位声明函 报价函 陕西省政府采购供应商拒绝政府采购领域商业贿赂承诺书 标的清单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0.5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评审标准：以上内容切合本项目实际情况及实施要求，内容与要点相符、每个要点均有展开详细的阐述且能够适用于本项目的得5分；评审内容任意一项缺项扣2.5分； 评审内容有缺陷（缺陷是指：劳动力计划安排不合理、主要材料供应计划不满足项目需求、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4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4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评审标准：以上内容切合本项目实际情况及实施要求，内容与要点相符、每个要点均有展开详细的阐述且能够适用于本项目的得6分；评审内容任意一项缺项扣3分； 评审内容有缺陷（缺陷是指：进度计划安排不合理、措施内容简单、与项目特点不匹配、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4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4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评审标准：以上内容与要点相符、每个要点均有展开详细的阐述且能够适用于本项目的得5分； 评审内容任意一项缺项扣2.5分；评审内容有缺陷（缺陷是指：内容简单、与项目特点不匹配、套用其他项目相关内容或存在不适用项目实际情况的情形）评审内容出现以上任一情形扣0.5分，扣完为止。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1分，最高得3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