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CFF209">
      <w:pPr>
        <w:keepNext w:val="0"/>
        <w:keepLines w:val="0"/>
        <w:pageBreakBefore w:val="0"/>
        <w:widowControl/>
        <w:numPr>
          <w:ilvl w:val="0"/>
          <w:numId w:val="0"/>
        </w:numPr>
        <w:shd w:val="clea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b/>
          <w:bCs/>
          <w:sz w:val="32"/>
          <w:szCs w:val="32"/>
          <w:highlight w:val="none"/>
          <w:lang w:val="en-US" w:eastAsia="zh-CN"/>
        </w:rPr>
      </w:pPr>
    </w:p>
    <w:p w14:paraId="5D7B5AAC">
      <w:pPr>
        <w:keepNext w:val="0"/>
        <w:keepLines w:val="0"/>
        <w:pageBreakBefore w:val="0"/>
        <w:widowControl/>
        <w:numPr>
          <w:ilvl w:val="0"/>
          <w:numId w:val="0"/>
        </w:numPr>
        <w:shd w:val="clea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合同文本</w:t>
      </w:r>
    </w:p>
    <w:p w14:paraId="504F5CE4">
      <w:pPr>
        <w:pStyle w:val="3"/>
        <w:shd w:val="clear"/>
        <w:spacing w:line="360" w:lineRule="auto"/>
        <w:rPr>
          <w:rFonts w:hint="eastAsia" w:ascii="仿宋" w:hAnsi="仿宋" w:eastAsia="仿宋" w:cs="仿宋"/>
          <w:highlight w:val="none"/>
          <w:lang w:val="en-US" w:eastAsia="zh-CN"/>
        </w:rPr>
      </w:pPr>
    </w:p>
    <w:p w14:paraId="7BB3AF50">
      <w:pPr>
        <w:widowControl w:val="0"/>
        <w:shd w:val="clear"/>
        <w:spacing w:line="360" w:lineRule="auto"/>
        <w:ind w:left="0" w:leftChars="0" w:firstLine="0" w:firstLineChars="0"/>
        <w:jc w:val="both"/>
        <w:rPr>
          <w:rFonts w:hint="eastAsia" w:ascii="仿宋" w:hAnsi="仿宋" w:eastAsia="仿宋" w:cs="仿宋"/>
          <w:b/>
          <w:bCs/>
          <w:color w:val="auto"/>
          <w:sz w:val="28"/>
          <w:szCs w:val="28"/>
          <w:highlight w:val="none"/>
          <w:lang w:val="en-US" w:eastAsia="zh-CN" w:bidi="ar-SA"/>
        </w:rPr>
      </w:pPr>
      <w:r>
        <w:rPr>
          <w:rFonts w:hint="eastAsia" w:ascii="仿宋" w:hAnsi="仿宋" w:eastAsia="仿宋" w:cs="仿宋"/>
          <w:b/>
          <w:bCs/>
          <w:color w:val="auto"/>
          <w:sz w:val="28"/>
          <w:szCs w:val="28"/>
          <w:highlight w:val="none"/>
          <w:lang w:val="en-US" w:eastAsia="zh-CN" w:bidi="ar-SA"/>
        </w:rPr>
        <w:t>合同编号:</w:t>
      </w:r>
    </w:p>
    <w:p w14:paraId="2526346C">
      <w:pPr>
        <w:pStyle w:val="7"/>
        <w:shd w:val="clear"/>
        <w:rPr>
          <w:rFonts w:hint="eastAsia" w:ascii="仿宋" w:hAnsi="仿宋" w:eastAsia="仿宋" w:cs="仿宋"/>
          <w:highlight w:val="none"/>
          <w:lang w:val="en-US" w:eastAsia="zh-CN"/>
        </w:rPr>
      </w:pPr>
    </w:p>
    <w:p w14:paraId="7D6BAE3A">
      <w:pPr>
        <w:widowControl w:val="0"/>
        <w:shd w:val="clear"/>
        <w:ind w:left="0" w:leftChars="0" w:firstLine="0" w:firstLineChars="0"/>
        <w:jc w:val="both"/>
        <w:rPr>
          <w:rFonts w:hint="eastAsia" w:ascii="仿宋" w:hAnsi="仿宋" w:eastAsia="仿宋" w:cs="仿宋"/>
          <w:color w:val="auto"/>
          <w:sz w:val="28"/>
          <w:szCs w:val="28"/>
          <w:highlight w:val="none"/>
          <w:lang w:val="en-US" w:eastAsia="zh-CN" w:bidi="ar-SA"/>
        </w:rPr>
      </w:pPr>
    </w:p>
    <w:p w14:paraId="19528A67">
      <w:pPr>
        <w:shd w:val="clear"/>
        <w:jc w:val="center"/>
        <w:rPr>
          <w:rFonts w:hint="eastAsia" w:ascii="仿宋" w:hAnsi="仿宋" w:eastAsia="仿宋" w:cs="仿宋"/>
          <w:b/>
          <w:bCs w:val="0"/>
          <w:color w:val="auto"/>
          <w:kern w:val="0"/>
          <w:sz w:val="44"/>
          <w:szCs w:val="44"/>
          <w:highlight w:val="none"/>
          <w:lang w:val="en-US" w:eastAsia="zh-CN" w:bidi="ar-SA"/>
        </w:rPr>
      </w:pPr>
      <w:r>
        <w:rPr>
          <w:rFonts w:hint="eastAsia" w:ascii="仿宋" w:hAnsi="仿宋" w:eastAsia="仿宋" w:cs="仿宋"/>
          <w:b/>
          <w:bCs w:val="0"/>
          <w:color w:val="auto"/>
          <w:kern w:val="0"/>
          <w:sz w:val="44"/>
          <w:szCs w:val="44"/>
          <w:highlight w:val="none"/>
          <w:lang w:val="en-US" w:eastAsia="zh-CN" w:bidi="ar-SA"/>
        </w:rPr>
        <w:t>教学楼改造提升、操场改造</w:t>
      </w:r>
    </w:p>
    <w:p w14:paraId="02182879">
      <w:pPr>
        <w:pStyle w:val="2"/>
        <w:shd w:val="clear"/>
        <w:jc w:val="center"/>
        <w:rPr>
          <w:rFonts w:hint="eastAsia" w:ascii="仿宋" w:hAnsi="仿宋" w:eastAsia="仿宋" w:cs="仿宋"/>
          <w:b/>
          <w:bCs w:val="0"/>
          <w:color w:val="auto"/>
          <w:kern w:val="0"/>
          <w:sz w:val="44"/>
          <w:szCs w:val="44"/>
          <w:highlight w:val="none"/>
          <w:lang w:val="en-US" w:eastAsia="zh-CN"/>
        </w:rPr>
      </w:pPr>
    </w:p>
    <w:p w14:paraId="337088FB">
      <w:pPr>
        <w:pStyle w:val="2"/>
        <w:shd w:val="clear"/>
        <w:jc w:val="center"/>
        <w:rPr>
          <w:rFonts w:hint="eastAsia" w:ascii="仿宋" w:hAnsi="仿宋" w:eastAsia="仿宋" w:cs="仿宋"/>
          <w:b/>
          <w:bCs w:val="0"/>
          <w:color w:val="auto"/>
          <w:kern w:val="0"/>
          <w:sz w:val="44"/>
          <w:szCs w:val="44"/>
          <w:highlight w:val="none"/>
          <w:lang w:val="en-US" w:eastAsia="zh-CN"/>
        </w:rPr>
      </w:pPr>
      <w:r>
        <w:rPr>
          <w:rFonts w:hint="eastAsia" w:ascii="仿宋" w:hAnsi="仿宋" w:eastAsia="仿宋" w:cs="仿宋"/>
          <w:b/>
          <w:bCs w:val="0"/>
          <w:color w:val="auto"/>
          <w:kern w:val="0"/>
          <w:sz w:val="44"/>
          <w:szCs w:val="44"/>
          <w:highlight w:val="none"/>
          <w:lang w:val="en-US" w:eastAsia="zh-CN"/>
        </w:rPr>
        <w:t>（示范文本）</w:t>
      </w:r>
    </w:p>
    <w:p w14:paraId="35779BB4">
      <w:pPr>
        <w:widowControl w:val="0"/>
        <w:shd w:val="clear"/>
        <w:ind w:left="0" w:leftChars="0" w:firstLine="0" w:firstLineChars="0"/>
        <w:jc w:val="both"/>
        <w:rPr>
          <w:rFonts w:hint="eastAsia" w:ascii="仿宋" w:hAnsi="仿宋" w:eastAsia="仿宋" w:cs="仿宋"/>
          <w:color w:val="auto"/>
          <w:sz w:val="28"/>
          <w:szCs w:val="28"/>
          <w:highlight w:val="none"/>
          <w:lang w:val="en-US" w:eastAsia="zh-CN" w:bidi="ar-SA"/>
        </w:rPr>
      </w:pPr>
    </w:p>
    <w:p w14:paraId="76565FD6">
      <w:pPr>
        <w:pStyle w:val="7"/>
        <w:shd w:val="clear"/>
        <w:rPr>
          <w:rFonts w:hint="eastAsia" w:ascii="仿宋" w:hAnsi="仿宋" w:eastAsia="仿宋" w:cs="仿宋"/>
          <w:highlight w:val="none"/>
          <w:lang w:val="en-US" w:eastAsia="zh-CN"/>
        </w:rPr>
      </w:pPr>
    </w:p>
    <w:p w14:paraId="44B54605">
      <w:pPr>
        <w:shd w:val="clea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14:paraId="0642F144">
      <w:pPr>
        <w:shd w:val="clea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供应商(乙方) :                              </w:t>
      </w:r>
    </w:p>
    <w:p w14:paraId="2805AC55">
      <w:pPr>
        <w:pStyle w:val="7"/>
        <w:shd w:val="clear"/>
        <w:ind w:left="0" w:leftChars="0" w:firstLine="0" w:firstLineChars="0"/>
        <w:rPr>
          <w:rFonts w:hint="eastAsia" w:ascii="仿宋" w:hAnsi="仿宋" w:eastAsia="仿宋" w:cs="仿宋"/>
          <w:highlight w:val="none"/>
        </w:rPr>
      </w:pPr>
    </w:p>
    <w:p w14:paraId="0ADD2478">
      <w:pPr>
        <w:pStyle w:val="8"/>
        <w:shd w:val="clear"/>
        <w:ind w:left="294" w:leftChars="0" w:hanging="294" w:hangingChars="105"/>
        <w:rPr>
          <w:rFonts w:hint="eastAsia"/>
          <w:highlight w:val="none"/>
        </w:rPr>
      </w:pPr>
    </w:p>
    <w:p w14:paraId="315BFE3B">
      <w:pPr>
        <w:shd w:val="clear"/>
        <w:bidi w:val="0"/>
        <w:rPr>
          <w:rFonts w:hint="eastAsia" w:ascii="仿宋" w:hAnsi="仿宋" w:eastAsia="仿宋" w:cs="仿宋"/>
          <w:color w:val="000000"/>
          <w:sz w:val="24"/>
          <w:highlight w:val="none"/>
        </w:rPr>
      </w:pPr>
    </w:p>
    <w:p w14:paraId="0971926C">
      <w:pPr>
        <w:shd w:val="clear"/>
        <w:bidi w:val="0"/>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合同编号：</w:t>
      </w:r>
      <w:r>
        <w:rPr>
          <w:rFonts w:hint="eastAsia" w:ascii="仿宋" w:hAnsi="仿宋" w:eastAsia="仿宋" w:cs="仿宋"/>
          <w:color w:val="000000"/>
          <w:sz w:val="24"/>
          <w:highlight w:val="none"/>
          <w:u w:val="single"/>
          <w:lang w:val="en-US" w:eastAsia="zh-CN"/>
        </w:rPr>
        <w:t xml:space="preserve">                                             </w:t>
      </w:r>
    </w:p>
    <w:p w14:paraId="1631FDBE">
      <w:pPr>
        <w:shd w:val="clear"/>
        <w:spacing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签订地点：</w:t>
      </w:r>
      <w:r>
        <w:rPr>
          <w:rFonts w:hint="eastAsia" w:ascii="仿宋" w:hAnsi="仿宋" w:eastAsia="仿宋" w:cs="仿宋"/>
          <w:color w:val="000000"/>
          <w:sz w:val="24"/>
          <w:highlight w:val="none"/>
          <w:u w:val="single"/>
        </w:rPr>
        <w:t xml:space="preserve">                                             </w:t>
      </w:r>
    </w:p>
    <w:p w14:paraId="4DBBE551">
      <w:pPr>
        <w:numPr>
          <w:ilvl w:val="0"/>
          <w:numId w:val="0"/>
        </w:numPr>
        <w:shd w:val="clear"/>
        <w:ind w:firstLine="480" w:firstLineChars="200"/>
        <w:jc w:val="left"/>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rPr>
        <w:t>签订时间：</w:t>
      </w:r>
      <w:r>
        <w:rPr>
          <w:rFonts w:hint="eastAsia" w:ascii="仿宋" w:hAnsi="仿宋" w:eastAsia="仿宋" w:cs="仿宋"/>
          <w:color w:val="000000"/>
          <w:sz w:val="24"/>
          <w:highlight w:val="none"/>
          <w:u w:val="single"/>
        </w:rPr>
        <w:t xml:space="preserve">                                             </w:t>
      </w:r>
    </w:p>
    <w:p w14:paraId="0E6B7A73">
      <w:pPr>
        <w:shd w:val="clear"/>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u w:val="single"/>
        </w:rPr>
        <w:br w:type="page"/>
      </w:r>
    </w:p>
    <w:p w14:paraId="75FCADCF">
      <w:pPr>
        <w:numPr>
          <w:ilvl w:val="0"/>
          <w:numId w:val="0"/>
        </w:numPr>
        <w:shd w:val="clear"/>
        <w:jc w:val="center"/>
        <w:rPr>
          <w:rFonts w:hint="eastAsia" w:ascii="宋体" w:hAnsi="宋体" w:eastAsia="宋体" w:cs="宋体"/>
          <w:b/>
          <w:sz w:val="36"/>
          <w:highlight w:val="none"/>
        </w:rPr>
      </w:pPr>
      <w:r>
        <w:rPr>
          <w:rFonts w:hint="eastAsia" w:ascii="宋体" w:hAnsi="宋体" w:eastAsia="宋体" w:cs="宋体"/>
          <w:b/>
          <w:sz w:val="36"/>
          <w:highlight w:val="none"/>
        </w:rPr>
        <w:t>拟签订采购合同文本</w:t>
      </w:r>
    </w:p>
    <w:p w14:paraId="473B7682">
      <w:pPr>
        <w:numPr>
          <w:ilvl w:val="0"/>
          <w:numId w:val="0"/>
        </w:numPr>
        <w:shd w:val="clear"/>
        <w:jc w:val="center"/>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本合同为中小企业预留合同</w:t>
      </w:r>
      <w:r>
        <w:rPr>
          <w:rFonts w:hint="eastAsia" w:ascii="仿宋" w:hAnsi="仿宋" w:eastAsia="仿宋" w:cs="仿宋"/>
          <w:highlight w:val="none"/>
          <w:lang w:eastAsia="zh-CN"/>
        </w:rPr>
        <w:t>）</w:t>
      </w:r>
    </w:p>
    <w:p w14:paraId="7A08F906">
      <w:pPr>
        <w:shd w:val="clea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val="en-US" w:eastAsia="zh-CN"/>
        </w:rPr>
        <w:t xml:space="preserve">                                </w:t>
      </w:r>
    </w:p>
    <w:p w14:paraId="703B22DF">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14:paraId="32174277">
      <w:pPr>
        <w:shd w:val="clea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val="en-US" w:eastAsia="zh-CN"/>
        </w:rPr>
        <w:t>教学楼改造提升、操场改造</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rPr>
        <w:t>陕西</w:t>
      </w:r>
      <w:r>
        <w:rPr>
          <w:rFonts w:hint="eastAsia" w:ascii="仿宋" w:hAnsi="仿宋" w:eastAsia="仿宋" w:cs="仿宋"/>
          <w:bCs/>
          <w:color w:val="auto"/>
          <w:sz w:val="24"/>
          <w:szCs w:val="24"/>
          <w:highlight w:val="none"/>
          <w:u w:val="single"/>
          <w:lang w:val="en-US" w:eastAsia="zh-CN"/>
        </w:rPr>
        <w:t>华海国际</w:t>
      </w:r>
      <w:r>
        <w:rPr>
          <w:rFonts w:hint="eastAsia" w:ascii="仿宋" w:hAnsi="仿宋" w:eastAsia="仿宋" w:cs="仿宋"/>
          <w:bCs/>
          <w:color w:val="auto"/>
          <w:sz w:val="24"/>
          <w:szCs w:val="24"/>
          <w:highlight w:val="none"/>
          <w:u w:val="single"/>
        </w:rPr>
        <w:t>项目管理有限公司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，(以下简称“甲方”)确定（以下简称“乙方”）为的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14:paraId="42CB3E37">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579A524">
      <w:pPr>
        <w:shd w:val="clea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238302EE">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CECF5E4">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14:paraId="45AB3B7E">
      <w:pPr>
        <w:shd w:val="clea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p>
    <w:p w14:paraId="25A039BD">
      <w:pPr>
        <w:shd w:val="clear"/>
        <w:autoSpaceDE w:val="0"/>
        <w:autoSpaceDN w:val="0"/>
        <w:adjustRightInd w:val="0"/>
        <w:spacing w:line="360" w:lineRule="auto"/>
        <w:ind w:firstLine="480" w:firstLineChars="20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合同签订后，达到付款条件，支付合同总价款的40%；完工验收合格后，达到付款条件，支付至合同价款的60%；提交财政部门结算评审后，按照评审金额支付剩余工程款。</w:t>
      </w:r>
    </w:p>
    <w:p w14:paraId="65966176">
      <w:pPr>
        <w:shd w:val="clea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44B1232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32FC1A9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78F14ED9">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（三）缺陷责任期：自本项目竣工验收合格之日起一年。</w:t>
      </w:r>
    </w:p>
    <w:p w14:paraId="78C2BD80">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14:paraId="37A7CD19">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14:paraId="435B8BE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14:paraId="1D7DBF62">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highlight w:val="none"/>
          <w:lang w:val="en-US" w:eastAsia="zh-CN"/>
        </w:rPr>
      </w:pPr>
      <w:r>
        <w:rPr>
          <w:rFonts w:hint="eastAsia" w:ascii="仿宋" w:hAnsi="仿宋" w:eastAsia="仿宋" w:cs="仿宋"/>
          <w:bCs/>
          <w:color w:val="auto"/>
          <w:sz w:val="24"/>
          <w:szCs w:val="24"/>
          <w:highlight w:val="none"/>
          <w:lang w:val="en-US" w:eastAsia="zh-CN"/>
        </w:rPr>
        <w:t>（七）本工程质量保修期为两年，质保期内所发生的的修复费用，均由乙方承担。</w:t>
      </w:r>
    </w:p>
    <w:p w14:paraId="3F1B676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14:paraId="708C7F4B">
      <w:pPr>
        <w:pStyle w:val="8"/>
        <w:keepNext w:val="0"/>
        <w:keepLines w:val="0"/>
        <w:pageBreakBefore w:val="0"/>
        <w:widowControl w:val="0"/>
        <w:shd w:val="clear"/>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5D19F247">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70D693E">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1AF7B944">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613C6800">
      <w:pPr>
        <w:shd w:val="clear"/>
        <w:spacing w:line="36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5E0DD384">
      <w:pPr>
        <w:shd w:val="clea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3BF50B1E">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51A5C8E6">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049DFB8E">
      <w:pPr>
        <w:shd w:val="clea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52541467">
      <w:pPr>
        <w:shd w:val="clea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8EB7B34">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C1663BC">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5BDB06F3">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FE4A7F7">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7EEE0501">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330EE06">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1F7FD2E0">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47A1257E">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2768DB04">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1609B63E">
      <w:pPr>
        <w:shd w:val="clea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hd w:val="clea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7CC7C26E">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661A760D">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0A61BE6">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7A0DADE0">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6D3A7E89">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14:paraId="77F49915">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14:paraId="509737B3">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14:paraId="407EF5D8">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14:paraId="5F6BC8A9">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2D8AAEE">
      <w:pPr>
        <w:shd w:val="clear"/>
        <w:autoSpaceDE w:val="0"/>
        <w:autoSpaceDN w:val="0"/>
        <w:adjustRightIn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4FCA3C12">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574ECC30">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E3F8289">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FD9BBF9">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65AC1B0">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39570F57">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FBE6CF1">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63BF54C3">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7CC89644">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4D13C25">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B7B32B4">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2266E14F">
      <w:pPr>
        <w:shd w:val="clea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14:paraId="602BB07B">
      <w:pPr>
        <w:shd w:val="clea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9"/>
        <w:tblW w:w="8403" w:type="dxa"/>
        <w:jc w:val="center"/>
        <w:tblLayout w:type="fixed"/>
        <w:tblCellMar>
          <w:top w:w="0" w:type="dxa"/>
          <w:left w:w="108" w:type="dxa"/>
          <w:bottom w:w="0" w:type="dxa"/>
          <w:right w:w="108" w:type="dxa"/>
        </w:tblCellMar>
      </w:tblPr>
      <w:tblGrid>
        <w:gridCol w:w="4201"/>
        <w:gridCol w:w="4202"/>
      </w:tblGrid>
      <w:tr w14:paraId="476FF227">
        <w:tblPrEx>
          <w:tblCellMar>
            <w:top w:w="0" w:type="dxa"/>
            <w:left w:w="108" w:type="dxa"/>
            <w:bottom w:w="0" w:type="dxa"/>
            <w:right w:w="108" w:type="dxa"/>
          </w:tblCellMar>
        </w:tblPrEx>
        <w:trPr>
          <w:trHeight w:val="567" w:hRule="exact"/>
          <w:jc w:val="center"/>
        </w:trPr>
        <w:tc>
          <w:tcPr>
            <w:tcW w:w="4201" w:type="dxa"/>
            <w:noWrap/>
            <w:vAlign w:val="center"/>
          </w:tcPr>
          <w:p w14:paraId="6EA19CA6">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29CC40F0">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01" w:type="dxa"/>
            <w:noWrap/>
            <w:vAlign w:val="center"/>
          </w:tcPr>
          <w:p w14:paraId="209C88E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492DFABB">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01" w:type="dxa"/>
            <w:noWrap/>
            <w:vAlign w:val="center"/>
          </w:tcPr>
          <w:p w14:paraId="65C7B48E">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789FFEB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01" w:type="dxa"/>
            <w:noWrap/>
            <w:vAlign w:val="center"/>
          </w:tcPr>
          <w:p w14:paraId="1D696CBD">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659783E">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01" w:type="dxa"/>
            <w:noWrap/>
            <w:vAlign w:val="center"/>
          </w:tcPr>
          <w:p w14:paraId="0E3191E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586A4FB4">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01" w:type="dxa"/>
            <w:noWrap/>
            <w:vAlign w:val="center"/>
          </w:tcPr>
          <w:p w14:paraId="1D737DC8">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75C3D45D">
            <w:pPr>
              <w:shd w:val="clea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01" w:type="dxa"/>
            <w:noWrap/>
            <w:vAlign w:val="center"/>
          </w:tcPr>
          <w:p w14:paraId="275486E5">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57775C5A">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01" w:type="dxa"/>
            <w:noWrap/>
            <w:vAlign w:val="center"/>
          </w:tcPr>
          <w:p w14:paraId="1AA5D7C8">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D031344">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01" w:type="dxa"/>
            <w:noWrap/>
            <w:vAlign w:val="center"/>
          </w:tcPr>
          <w:p w14:paraId="76C4979A">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474D7465">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3E0DB32E">
      <w:pPr>
        <w:pStyle w:val="5"/>
        <w:shd w:val="clear"/>
        <w:rPr>
          <w:rFonts w:hint="eastAsia"/>
          <w:highlight w:val="none"/>
        </w:rPr>
      </w:pPr>
    </w:p>
    <w:p w14:paraId="2C85DDEA">
      <w:pPr>
        <w:shd w:val="clea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06F2D00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附</w:t>
      </w:r>
      <w:bookmarkStart w:id="0" w:name="_Toc267261693"/>
      <w:bookmarkStart w:id="1" w:name="_Toc296346727"/>
      <w:bookmarkStart w:id="2" w:name="_Toc296944565"/>
      <w:bookmarkStart w:id="3" w:name="_Toc296891054"/>
      <w:bookmarkStart w:id="4" w:name="_Toc296347225"/>
      <w:bookmarkStart w:id="5" w:name="_Toc296503226"/>
      <w:bookmarkStart w:id="6" w:name="_Toc296891266"/>
      <w:r>
        <w:rPr>
          <w:rFonts w:hint="eastAsia" w:ascii="仿宋" w:hAnsi="仿宋" w:eastAsia="仿宋" w:cs="仿宋"/>
          <w:color w:val="000000"/>
          <w:sz w:val="24"/>
          <w:szCs w:val="24"/>
          <w:highlight w:val="none"/>
        </w:rPr>
        <w:t>件</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w:t>
      </w:r>
      <w:bookmarkEnd w:id="0"/>
      <w:bookmarkEnd w:id="1"/>
      <w:bookmarkEnd w:id="2"/>
      <w:bookmarkEnd w:id="3"/>
      <w:bookmarkEnd w:id="4"/>
      <w:bookmarkEnd w:id="5"/>
      <w:bookmarkEnd w:id="6"/>
      <w:r>
        <w:rPr>
          <w:rFonts w:hint="eastAsia" w:ascii="仿宋" w:hAnsi="仿宋" w:eastAsia="仿宋" w:cs="仿宋"/>
          <w:color w:val="000000"/>
          <w:sz w:val="24"/>
          <w:szCs w:val="24"/>
          <w:highlight w:val="none"/>
        </w:rPr>
        <w:t xml:space="preserve">    </w:t>
      </w:r>
    </w:p>
    <w:p w14:paraId="0DD9A668">
      <w:pPr>
        <w:keepNext w:val="0"/>
        <w:keepLines w:val="0"/>
        <w:pageBreakBefore w:val="0"/>
        <w:widowControl w:val="0"/>
        <w:shd w:val="clear"/>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工程质量保修书</w:t>
      </w:r>
    </w:p>
    <w:p w14:paraId="5EAC2D92">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default"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u w:val="single"/>
          <w:lang w:val="en-US" w:eastAsia="zh-CN"/>
        </w:rPr>
        <w:t xml:space="preserve">                               </w:t>
      </w:r>
    </w:p>
    <w:p w14:paraId="16D62DBF">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w:t>
      </w:r>
      <w:r>
        <w:rPr>
          <w:rFonts w:hint="eastAsia" w:ascii="仿宋" w:hAnsi="仿宋" w:eastAsia="仿宋" w:cs="仿宋"/>
          <w:color w:val="000000"/>
          <w:sz w:val="24"/>
          <w:szCs w:val="24"/>
          <w:highlight w:val="none"/>
          <w:lang w:val="en-US" w:eastAsia="zh-CN"/>
        </w:rPr>
        <w:t>供应商</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w:t>
      </w:r>
    </w:p>
    <w:p w14:paraId="233ECB6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p>
    <w:p w14:paraId="39863EF4">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发包人和承包人根据《中华人民共和国建筑法》和《建设工程质量管理条例》，经协商一致就</w:t>
      </w:r>
      <w:r>
        <w:rPr>
          <w:rFonts w:hint="eastAsia" w:ascii="仿宋" w:hAnsi="仿宋" w:eastAsia="仿宋" w:cs="仿宋"/>
          <w:color w:val="000000"/>
          <w:sz w:val="24"/>
          <w:szCs w:val="24"/>
          <w:highlight w:val="none"/>
          <w:u w:val="single"/>
          <w:lang w:val="en-US" w:eastAsia="zh-CN"/>
        </w:rPr>
        <w:t>（教学楼改造提升、操场改造</w:t>
      </w:r>
      <w:r>
        <w:rPr>
          <w:rFonts w:hint="eastAsia" w:ascii="仿宋" w:hAnsi="仿宋" w:eastAsia="仿宋" w:cs="仿宋"/>
          <w:color w:val="000000"/>
          <w:sz w:val="24"/>
          <w:szCs w:val="24"/>
          <w:highlight w:val="none"/>
        </w:rPr>
        <w:t>）签订工程质量保修书。</w:t>
      </w:r>
    </w:p>
    <w:p w14:paraId="6DFFCA09">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一、工程质量保修范围和内容</w:t>
      </w:r>
    </w:p>
    <w:p w14:paraId="31B8FBB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承包人在质量保修期内，按照有关法律规定和合同约定，承担工程质量保修责任。</w:t>
      </w:r>
    </w:p>
    <w:p w14:paraId="3CDAB9A0">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AA1C6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05793E00">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　　</w:t>
      </w:r>
      <w:r>
        <w:rPr>
          <w:rFonts w:hint="eastAsia" w:ascii="仿宋" w:hAnsi="仿宋" w:eastAsia="仿宋" w:cs="仿宋"/>
          <w:color w:val="000000"/>
          <w:sz w:val="24"/>
          <w:szCs w:val="24"/>
          <w:highlight w:val="none"/>
        </w:rPr>
        <w:t>二、质量保修期</w:t>
      </w:r>
    </w:p>
    <w:p w14:paraId="26AD1FF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根据《建设工程质量管理条例》及有关规定，工程的质量保修期如下：</w:t>
      </w:r>
    </w:p>
    <w:p w14:paraId="56A34E5D">
      <w:pPr>
        <w:keepNext w:val="0"/>
        <w:keepLines w:val="0"/>
        <w:pageBreakBefore w:val="0"/>
        <w:widowControl w:val="0"/>
        <w:shd w:val="clear"/>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地基基础工程和主体结构工程为设计文件规定的工程合理使用年限；</w:t>
      </w:r>
    </w:p>
    <w:p w14:paraId="1636620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屋面防水工程、有防水要求的卫生间、房间和外墙面的防渗为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5</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8751D6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装修工程为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7F0DA7C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电气管线、给排水管道、设备安装工程为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0698552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供热与供冷系统为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个采暖期、供冷期；</w:t>
      </w:r>
    </w:p>
    <w:p w14:paraId="4BC7A3F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住宅小区内的给排水设施、道路等配套工程为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6B83A4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其他项目保修期限约定如下：</w:t>
      </w:r>
    </w:p>
    <w:p w14:paraId="17C8544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lang w:val="en-US" w:eastAsia="zh-CN"/>
        </w:rPr>
        <w:t>操场改造部分：项目完成，验收合格后5年；其余部分：项目完成，验收合格后2年。</w:t>
      </w:r>
    </w:p>
    <w:p w14:paraId="776E816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质量保修期自工程竣工验收合格之日起计算。</w:t>
      </w:r>
    </w:p>
    <w:p w14:paraId="7316DB6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三、缺陷责任期</w:t>
      </w:r>
    </w:p>
    <w:p w14:paraId="6A8D0DF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工程缺陷责任期为</w:t>
      </w:r>
      <w:r>
        <w:rPr>
          <w:rFonts w:hint="eastAsia" w:ascii="仿宋" w:hAnsi="仿宋" w:eastAsia="仿宋" w:cs="仿宋"/>
          <w:color w:val="000000"/>
          <w:sz w:val="24"/>
          <w:szCs w:val="24"/>
          <w:highlight w:val="none"/>
          <w:u w:val="single"/>
          <w:lang w:val="en-US" w:eastAsia="zh-CN"/>
        </w:rPr>
        <w:t>12</w:t>
      </w:r>
      <w:r>
        <w:rPr>
          <w:rFonts w:hint="eastAsia" w:ascii="仿宋" w:hAnsi="仿宋" w:eastAsia="仿宋" w:cs="仿宋"/>
          <w:color w:val="000000"/>
          <w:sz w:val="24"/>
          <w:szCs w:val="24"/>
          <w:highlight w:val="none"/>
        </w:rPr>
        <w:t>个月，缺陷责任期自工程通过竣工验收之日起计算。单位工程先于全部工程进行验收，单位工程缺陷责任期自单位工程验收合格之日起算。</w:t>
      </w:r>
    </w:p>
    <w:p w14:paraId="3BAA9B2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缺陷责任期终止后，发包人应退还剩余的质量保证金。</w:t>
      </w:r>
    </w:p>
    <w:p w14:paraId="15781BDE">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四、质量保修责任</w:t>
      </w:r>
    </w:p>
    <w:p w14:paraId="6F4FBFE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发生紧急事故需抢修的，承包人在接到事故通知后，应当立即到达事故现场抢修。</w:t>
      </w:r>
    </w:p>
    <w:p w14:paraId="554F49D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质量保修完成后，由发包人组织验收。</w:t>
      </w:r>
    </w:p>
    <w:p w14:paraId="5FE8B6C8">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五、保修费用</w:t>
      </w:r>
    </w:p>
    <w:p w14:paraId="72F0C653">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保修费用由造成质量缺陷的责任方承担。</w:t>
      </w:r>
    </w:p>
    <w:p w14:paraId="76D6A2D0">
      <w:pPr>
        <w:keepNext w:val="0"/>
        <w:keepLines w:val="0"/>
        <w:pageBreakBefore w:val="0"/>
        <w:widowControl w:val="0"/>
        <w:shd w:val="clear"/>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000000"/>
          <w:sz w:val="24"/>
          <w:szCs w:val="24"/>
          <w:highlight w:val="none"/>
          <w:u w:val="single"/>
        </w:rPr>
      </w:pPr>
      <w:r>
        <w:rPr>
          <w:rFonts w:hint="eastAsia" w:ascii="仿宋" w:hAnsi="仿宋" w:eastAsia="仿宋" w:cs="仿宋"/>
          <w:b/>
          <w:color w:val="000000"/>
          <w:sz w:val="24"/>
          <w:szCs w:val="24"/>
          <w:highlight w:val="none"/>
        </w:rPr>
        <w:t>六</w:t>
      </w:r>
      <w:r>
        <w:rPr>
          <w:rFonts w:hint="eastAsia" w:ascii="仿宋" w:hAnsi="仿宋" w:eastAsia="仿宋" w:cs="仿宋"/>
          <w:color w:val="000000"/>
          <w:sz w:val="24"/>
          <w:szCs w:val="24"/>
          <w:highlight w:val="none"/>
        </w:rPr>
        <w:t>、双方约定的其他工程质量保修事项：</w:t>
      </w:r>
      <w:r>
        <w:rPr>
          <w:rFonts w:hint="eastAsia" w:ascii="仿宋" w:hAnsi="仿宋" w:eastAsia="仿宋" w:cs="仿宋"/>
          <w:color w:val="000000"/>
          <w:sz w:val="24"/>
          <w:szCs w:val="24"/>
          <w:highlight w:val="none"/>
          <w:u w:val="single"/>
        </w:rPr>
        <w:t xml:space="preserve">                  </w:t>
      </w:r>
    </w:p>
    <w:p w14:paraId="4A9232B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7E2196CD">
      <w:pPr>
        <w:keepNext w:val="0"/>
        <w:keepLines w:val="0"/>
        <w:pageBreakBefore w:val="0"/>
        <w:widowControl w:val="0"/>
        <w:shd w:val="clear"/>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shd w:val="clear"/>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000000"/>
          <w:sz w:val="24"/>
          <w:szCs w:val="24"/>
          <w:highlight w:val="none"/>
        </w:rPr>
      </w:pPr>
    </w:p>
    <w:p w14:paraId="38A16795">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发包人(公章)：</w:t>
      </w:r>
      <w:r>
        <w:rPr>
          <w:rFonts w:hint="eastAsia" w:ascii="仿宋" w:hAnsi="仿宋" w:eastAsia="仿宋" w:cs="仿宋"/>
          <w:color w:val="000000"/>
          <w:sz w:val="24"/>
          <w:szCs w:val="24"/>
          <w:highlight w:val="none"/>
          <w:u w:val="single"/>
        </w:rPr>
        <w:t xml:space="preserve">        </w:t>
      </w:r>
      <w:r>
        <w:rPr>
          <w:rFonts w:hint="eastAsia" w:ascii="仿宋" w:hAnsi="仿宋" w:eastAsia="仿宋" w:cs="仿宋"/>
          <w:color w:val="000000"/>
          <w:sz w:val="24"/>
          <w:szCs w:val="24"/>
          <w:highlight w:val="none"/>
        </w:rPr>
        <w:t xml:space="preserve"> 承包人(公章)：</w:t>
      </w:r>
      <w:r>
        <w:rPr>
          <w:rFonts w:hint="eastAsia" w:ascii="仿宋" w:hAnsi="仿宋" w:eastAsia="仿宋" w:cs="仿宋"/>
          <w:color w:val="000000"/>
          <w:sz w:val="24"/>
          <w:szCs w:val="24"/>
          <w:highlight w:val="none"/>
          <w:u w:val="single"/>
        </w:rPr>
        <w:t xml:space="preserve">           </w:t>
      </w:r>
    </w:p>
    <w:p w14:paraId="77B3C56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  址：</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地  址：</w:t>
      </w:r>
      <w:r>
        <w:rPr>
          <w:rFonts w:hint="eastAsia" w:ascii="仿宋" w:hAnsi="仿宋" w:eastAsia="仿宋" w:cs="仿宋"/>
          <w:color w:val="000000"/>
          <w:sz w:val="24"/>
          <w:szCs w:val="24"/>
          <w:highlight w:val="none"/>
          <w:u w:val="single"/>
        </w:rPr>
        <w:t xml:space="preserve">       </w:t>
      </w:r>
    </w:p>
    <w:p w14:paraId="7657809D">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法定代表人(签字)：</w:t>
      </w:r>
      <w:r>
        <w:rPr>
          <w:rFonts w:hint="eastAsia" w:ascii="仿宋" w:hAnsi="仿宋" w:eastAsia="仿宋" w:cs="仿宋"/>
          <w:color w:val="000000"/>
          <w:sz w:val="24"/>
          <w:szCs w:val="24"/>
          <w:highlight w:val="none"/>
          <w:u w:val="single"/>
        </w:rPr>
        <w:t xml:space="preserve">       </w:t>
      </w:r>
    </w:p>
    <w:p w14:paraId="067CF0BB">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委托代理人(签字)：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委托代理人(签字)：</w:t>
      </w:r>
      <w:r>
        <w:rPr>
          <w:rFonts w:hint="eastAsia" w:ascii="仿宋" w:hAnsi="仿宋" w:eastAsia="仿宋" w:cs="仿宋"/>
          <w:color w:val="000000"/>
          <w:sz w:val="24"/>
          <w:szCs w:val="24"/>
          <w:highlight w:val="none"/>
          <w:u w:val="single"/>
        </w:rPr>
        <w:t xml:space="preserve">       </w:t>
      </w:r>
    </w:p>
    <w:p w14:paraId="72E244D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  话：</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电  话：</w:t>
      </w:r>
      <w:r>
        <w:rPr>
          <w:rFonts w:hint="eastAsia" w:ascii="仿宋" w:hAnsi="仿宋" w:eastAsia="仿宋" w:cs="仿宋"/>
          <w:color w:val="000000"/>
          <w:sz w:val="24"/>
          <w:szCs w:val="24"/>
          <w:highlight w:val="none"/>
          <w:u w:val="single"/>
        </w:rPr>
        <w:t xml:space="preserve">     </w:t>
      </w:r>
    </w:p>
    <w:p w14:paraId="5FF8DB29">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  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传  真：</w:t>
      </w:r>
      <w:r>
        <w:rPr>
          <w:rFonts w:hint="eastAsia" w:ascii="仿宋" w:hAnsi="仿宋" w:eastAsia="仿宋" w:cs="仿宋"/>
          <w:color w:val="000000"/>
          <w:sz w:val="24"/>
          <w:szCs w:val="24"/>
          <w:highlight w:val="none"/>
          <w:u w:val="single"/>
        </w:rPr>
        <w:t xml:space="preserve">     </w:t>
      </w:r>
    </w:p>
    <w:p w14:paraId="22AF74F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开户银行：</w:t>
      </w:r>
      <w:r>
        <w:rPr>
          <w:rFonts w:hint="eastAsia" w:ascii="仿宋" w:hAnsi="仿宋" w:eastAsia="仿宋" w:cs="仿宋"/>
          <w:color w:val="000000"/>
          <w:sz w:val="24"/>
          <w:szCs w:val="24"/>
          <w:highlight w:val="none"/>
          <w:u w:val="single"/>
        </w:rPr>
        <w:t xml:space="preserve">   </w:t>
      </w:r>
    </w:p>
    <w:p w14:paraId="0DD22418">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  号：</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账  号：</w:t>
      </w:r>
      <w:r>
        <w:rPr>
          <w:rFonts w:hint="eastAsia" w:ascii="仿宋" w:hAnsi="仿宋" w:eastAsia="仿宋" w:cs="仿宋"/>
          <w:color w:val="000000"/>
          <w:sz w:val="24"/>
          <w:szCs w:val="24"/>
          <w:highlight w:val="none"/>
          <w:u w:val="single"/>
        </w:rPr>
        <w:t xml:space="preserve">     </w:t>
      </w:r>
    </w:p>
    <w:p w14:paraId="452275D0">
      <w:pPr>
        <w:shd w:val="clear"/>
        <w:rPr>
          <w:rFonts w:hint="eastAsia" w:ascii="宋体" w:hAnsi="宋体" w:eastAsia="宋体" w:cs="宋体"/>
          <w:highlight w:val="none"/>
          <w:lang w:val="en-US" w:eastAsia="zh-Hans"/>
        </w:rPr>
      </w:pPr>
      <w:r>
        <w:rPr>
          <w:rFonts w:hint="eastAsia" w:ascii="仿宋" w:hAnsi="仿宋" w:eastAsia="仿宋" w:cs="仿宋"/>
          <w:color w:val="000000"/>
          <w:sz w:val="24"/>
          <w:szCs w:val="24"/>
          <w:highlight w:val="none"/>
        </w:rPr>
        <w:t>邮政编码：</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邮政编码：</w:t>
      </w:r>
      <w:r>
        <w:rPr>
          <w:rFonts w:hint="eastAsia" w:ascii="仿宋" w:hAnsi="仿宋" w:eastAsia="仿宋" w:cs="仿宋"/>
          <w:color w:val="000000"/>
          <w:sz w:val="24"/>
          <w:szCs w:val="24"/>
          <w:highlight w:val="none"/>
          <w:u w:val="single"/>
        </w:rPr>
        <w:t xml:space="preserve">   </w:t>
      </w:r>
    </w:p>
    <w:p w14:paraId="75842550">
      <w:pPr>
        <w:pStyle w:val="11"/>
        <w:shd w:val="clear"/>
        <w:rPr>
          <w:rFonts w:hint="eastAsia" w:ascii="宋体" w:hAnsi="宋体" w:eastAsia="宋体" w:cs="宋体"/>
          <w:highlight w:val="none"/>
          <w:lang w:val="en-US" w:eastAsia="zh-Hans"/>
        </w:rPr>
      </w:pPr>
    </w:p>
    <w:p w14:paraId="37095ABE">
      <w:bookmarkStart w:id="7" w:name="_GoBack"/>
      <w:bookmarkEnd w:id="7"/>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6D841">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C10952">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BC10952">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C11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unhideWhenUsed/>
    <w:qFormat/>
    <w:uiPriority w:val="0"/>
    <w:pPr>
      <w:spacing w:after="120"/>
    </w:pPr>
  </w:style>
  <w:style w:type="paragraph" w:styleId="4">
    <w:name w:val="Body Text Indent"/>
    <w:basedOn w:val="1"/>
    <w:qFormat/>
    <w:uiPriority w:val="0"/>
    <w:pPr>
      <w:widowControl/>
      <w:ind w:firstLine="652" w:firstLineChars="233"/>
    </w:pPr>
    <w:rPr>
      <w:rFonts w:ascii="Times New Roman"/>
      <w:sz w:val="28"/>
    </w:rPr>
  </w:style>
  <w:style w:type="paragraph" w:styleId="5">
    <w:name w:val="Plain Text"/>
    <w:basedOn w:val="1"/>
    <w:qFormat/>
    <w:uiPriority w:val="99"/>
    <w:rPr>
      <w:rFonts w:ascii="宋体" w:hAnsi="Courier New" w:cs="宋体"/>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Body Text First Indent"/>
    <w:basedOn w:val="3"/>
    <w:next w:val="8"/>
    <w:qFormat/>
    <w:uiPriority w:val="99"/>
    <w:pPr>
      <w:ind w:firstLine="420" w:firstLineChars="100"/>
    </w:pPr>
    <w:rPr>
      <w:rFonts w:ascii="宋体"/>
    </w:rPr>
  </w:style>
  <w:style w:type="paragraph" w:styleId="8">
    <w:name w:val="Body Text First Indent 2"/>
    <w:basedOn w:val="4"/>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2025-08-17T04:05:08Z</dcterms:created>
  <dc:creator>Administrator</dc:creator>
  <cp:lastModifiedBy>doit</cp:lastModifiedBy>
  <dcterms:modified xsi:type="dcterms:W3CDTF">2025-08-17T04:05:09Z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7379ECFD869E4CB4A81FBC5AAF5C2B04_12</vt:lpwstr>
  </property>
</Properties>
</file>