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1BDDE3C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bookmarkStart w:id="0" w:name="_Toc495909096"/>
      <w:bookmarkStart w:id="1" w:name="_Toc495681532"/>
      <w:bookmarkStart w:id="2" w:name="_Toc495681251"/>
      <w:bookmarkStart w:id="3" w:name="_Toc495908047"/>
      <w:bookmarkStart w:id="4" w:name="_Toc495671262"/>
      <w:bookmarkStart w:id="5" w:name="_Toc495681405"/>
      <w:r>
        <w:rPr>
          <w:rFonts w:hint="eastAsia" w:ascii="宋体" w:hAnsi="宋体" w:eastAsia="宋体" w:cs="宋体"/>
          <w:i w:val="0"/>
          <w:iCs w:val="0"/>
          <w:caps w:val="0"/>
          <w:color w:val="auto"/>
          <w:spacing w:val="0"/>
          <w:bdr w:val="none" w:color="auto" w:sz="0" w:space="0"/>
          <w:shd w:val="clear" w:fill="FFFFFF"/>
        </w:rPr>
        <w:t>1、有效的主体资格证明：具有独立承担民事责任能力的法人、其他组织或自然人，并出具合法有效的相关证明材料。供应商需在项目电子化交易系统中按要求上传相应证明文件并进行电子签章。</w:t>
      </w:r>
    </w:p>
    <w:p w14:paraId="29EC9BF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财务状况报告：提供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3E0AA3A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14:paraId="0E63678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47B0740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40F85F4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760BAAA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企业资质：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p w14:paraId="6FA0BB8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6E6494D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6AB34B6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050C5E4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229FBE6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12、非联合体投标：本合同包不接受联合体投标，提供非联合体投标声明。供应商需在项目电子化交易系统中按要求上传相应证明文件并进行电子签章。</w:t>
      </w:r>
    </w:p>
    <w:p w14:paraId="77271BA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p>
    <w:p w14:paraId="298D51A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注：以上均为各供应商必备资格要求，有格式要求，按后附格式执行，无格式要求的，其格式自拟。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bookmarkStart w:id="7" w:name="_GoBack"/>
      <w:bookmarkEnd w:id="7"/>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6E57B25"/>
    <w:rsid w:val="11524A46"/>
    <w:rsid w:val="19104E92"/>
    <w:rsid w:val="19F20D54"/>
    <w:rsid w:val="1A694568"/>
    <w:rsid w:val="22FC267B"/>
    <w:rsid w:val="344910DE"/>
    <w:rsid w:val="3E8821FB"/>
    <w:rsid w:val="46FF778E"/>
    <w:rsid w:val="47A365B0"/>
    <w:rsid w:val="56EB4EC3"/>
    <w:rsid w:val="579374E0"/>
    <w:rsid w:val="5C651F0D"/>
    <w:rsid w:val="5D6C394A"/>
    <w:rsid w:val="63455FB3"/>
    <w:rsid w:val="64FF705D"/>
    <w:rsid w:val="67FD3BA9"/>
    <w:rsid w:val="70D952BB"/>
    <w:rsid w:val="74EC2B78"/>
    <w:rsid w:val="753B2258"/>
    <w:rsid w:val="797F5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2584</Words>
  <Characters>2710</Characters>
  <Lines>0</Lines>
  <Paragraphs>0</Paragraphs>
  <TotalTime>53</TotalTime>
  <ScaleCrop>false</ScaleCrop>
  <LinksUpToDate>false</LinksUpToDate>
  <CharactersWithSpaces>3254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2025-08-25T10:10:25Z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6CD9233E852245548BEF7AB514D02806_11</vt:lpwstr>
  </property>
  <property fmtid="{D5CDD505-2E9C-101B-9397-08002B2CF9AE}" pid="4" name="KSOTemplateDocerSaveRecord">
    <vt:lpwstr>eyJoZGlkIjoiOGZhMGY4NGI5YmU5OGE3YjRiMDgyODliZGQxOWY2MGYiLCJ1c2VySWQiOiI3MjI4MjA5NTgifQ==</vt:lpwstr>
  </property>
</Properties>
</file>