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版本号：ZY2025-ZB-CS108420250804001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六村堡工业园区实施性详细规划三图一表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ZY2025-ZB-CS1084</w:t>
      </w:r>
      <w:r>
        <w:br/>
      </w:r>
      <w:r>
        <w:br/>
      </w:r>
      <w:r>
        <w:br/>
      </w:r>
    </w:p>
    <w:p>
      <w:pPr>
        <w:pStyle w:val="null3"/>
        <w:jc w:val="center"/>
        <w:outlineLvl w:val="2"/>
      </w:pPr>
      <w:r>
        <w:rPr>
          <w:rFonts w:ascii="仿宋_GB2312" w:hAnsi="仿宋_GB2312" w:cs="仿宋_GB2312" w:eastAsia="仿宋_GB2312"/>
          <w:sz w:val="28"/>
          <w:b/>
        </w:rPr>
        <w:t>西安未央工业园管理委员会</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西安未央工业园管理委员会</w:t>
      </w:r>
      <w:r>
        <w:rPr>
          <w:rFonts w:ascii="仿宋_GB2312" w:hAnsi="仿宋_GB2312" w:cs="仿宋_GB2312" w:eastAsia="仿宋_GB2312"/>
        </w:rPr>
        <w:t>委托，拟对</w:t>
      </w:r>
      <w:r>
        <w:rPr>
          <w:rFonts w:ascii="仿宋_GB2312" w:hAnsi="仿宋_GB2312" w:cs="仿宋_GB2312" w:eastAsia="仿宋_GB2312"/>
        </w:rPr>
        <w:t>六村堡工业园区实施性详细规划三图一表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ZY2025-ZB-CS1084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六村堡工业园区实施性详细规划三图一表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西安未央工业园管理委员会六村堡工业园区实施性详细规划三图一表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2、信用信息：未被列入信用中国网站(www.creditchina.gov.cn)“失信被执行人、重大税收违法失信主体”；不处于中国政府采购网(www.ccgp.gov.cn)“政府采购严重违法失信行为信息记录”中的禁止参加政府采购活动期间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3、法定代表人授权书：法定代表人授权委托书、被授权人身份证（法定代表人参加磋商时,只需提供法定代表人身份证），被授权人参加开标时，须提供开标前三个月内任意一个月的社保缴纳证明</w:t>
      </w:r>
    </w:p>
    <w:p>
      <w:pPr>
        <w:pStyle w:val="null3"/>
      </w:pPr>
      <w:r>
        <w:rPr>
          <w:rFonts w:ascii="仿宋_GB2312" w:hAnsi="仿宋_GB2312" w:cs="仿宋_GB2312" w:eastAsia="仿宋_GB2312"/>
        </w:rPr>
        <w:t>4、供应商须具备城乡规划编制甲级资质：供应商须具备城乡规划编制甲级资质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西安未央工业园管理委员会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西安市未央区北三环中国燃气西北区域经营管理中心4层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西安未央工业园管理委员会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029-86529550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冯丹、张晶、卫现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采购包1：1,696,652.00元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代理服务费收费标准：参照《招标代理服务收费管理暂行办法》(计价格〔2002〕1980号)和《关于招标代理服务费收费有关问题的通知》（发改办价格〔2003〕857号）文件的规定执行。 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西安未央工业园管理委员会</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西安未央工业园管理委员会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西安未央工业园管理委员会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联系人：冯丹、张晶、卫现</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地址：陕西省西安市未央区西安经济技术开发区凤城一路6号利君V时代B座901、902室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西安未央工业园管理委员会六村堡工业园区实施性详细规划三图一表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1,696,652.00</w:t>
      </w:r>
    </w:p>
    <w:p>
      <w:pPr>
        <w:pStyle w:val="null3"/>
      </w:pPr>
      <w:r>
        <w:rPr>
          <w:rFonts w:ascii="仿宋_GB2312" w:hAnsi="仿宋_GB2312" w:cs="仿宋_GB2312" w:eastAsia="仿宋_GB2312"/>
        </w:rPr>
        <w:t>采购包最高限价（元）: 1,696,652.00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六村堡工业园区实施性详细规划三图一表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1,696,652.00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标的名称：六村堡工业园区实施性详细规划三图一表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b/>
              </w:rPr>
              <w:t>一、项目概况</w:t>
            </w:r>
          </w:p>
          <w:p>
            <w:pPr>
              <w:pStyle w:val="null3"/>
              <w:ind w:firstLine="420"/>
              <w:jc w:val="both"/>
            </w:pPr>
            <w:r>
              <w:rPr>
                <w:rFonts w:ascii="仿宋_GB2312" w:hAnsi="仿宋_GB2312" w:cs="仿宋_GB2312" w:eastAsia="仿宋_GB2312"/>
              </w:rPr>
              <w:t>按照2023年12月2日《西安市政府工作报告》指出的“加快44个产业片区规划建设和土地整备，切实增强产业承载力和集聚效应”要求，坚持“龙头引领、集聚配套、链式互补”原则，</w:t>
            </w:r>
            <w:r>
              <w:rPr>
                <w:rFonts w:ascii="仿宋_GB2312" w:hAnsi="仿宋_GB2312" w:cs="仿宋_GB2312" w:eastAsia="仿宋_GB2312"/>
              </w:rPr>
              <w:t>六村堡</w:t>
            </w:r>
            <w:r>
              <w:rPr>
                <w:rFonts w:ascii="仿宋_GB2312" w:hAnsi="仿宋_GB2312" w:cs="仿宋_GB2312" w:eastAsia="仿宋_GB2312"/>
              </w:rPr>
              <w:t>片区是全市44个市级产业片区之一，依据西安市功能体系布局规划，编制六村堡片区实施详细规划；</w:t>
            </w:r>
            <w:r>
              <w:rPr>
                <w:rFonts w:ascii="仿宋_GB2312" w:hAnsi="仿宋_GB2312" w:cs="仿宋_GB2312" w:eastAsia="仿宋_GB2312"/>
              </w:rPr>
              <w:t>挖掘</w:t>
            </w:r>
            <w:r>
              <w:rPr>
                <w:rFonts w:ascii="仿宋_GB2312" w:hAnsi="仿宋_GB2312" w:cs="仿宋_GB2312" w:eastAsia="仿宋_GB2312"/>
              </w:rPr>
              <w:t>六村堡</w:t>
            </w:r>
            <w:r>
              <w:rPr>
                <w:rFonts w:ascii="仿宋_GB2312" w:hAnsi="仿宋_GB2312" w:cs="仿宋_GB2312" w:eastAsia="仿宋_GB2312"/>
              </w:rPr>
              <w:t>片区</w:t>
            </w:r>
            <w:r>
              <w:rPr>
                <w:rFonts w:ascii="仿宋_GB2312" w:hAnsi="仿宋_GB2312" w:cs="仿宋_GB2312" w:eastAsia="仿宋_GB2312"/>
              </w:rPr>
              <w:t>的核心价值，对空间结构进行重构，提出空间规划布局整体方案；在规划中</w:t>
            </w:r>
            <w:r>
              <w:rPr>
                <w:rFonts w:ascii="仿宋_GB2312" w:hAnsi="仿宋_GB2312" w:cs="仿宋_GB2312" w:eastAsia="仿宋_GB2312"/>
              </w:rPr>
              <w:t>开展片区</w:t>
            </w:r>
            <w:r>
              <w:rPr>
                <w:rFonts w:ascii="仿宋_GB2312" w:hAnsi="仿宋_GB2312" w:cs="仿宋_GB2312" w:eastAsia="仿宋_GB2312"/>
              </w:rPr>
              <w:t>土地利用现状详查</w:t>
            </w:r>
            <w:r>
              <w:rPr>
                <w:rFonts w:ascii="仿宋_GB2312" w:hAnsi="仿宋_GB2312" w:cs="仿宋_GB2312" w:eastAsia="仿宋_GB2312"/>
              </w:rPr>
              <w:t>、</w:t>
            </w:r>
            <w:r>
              <w:rPr>
                <w:rFonts w:ascii="仿宋_GB2312" w:hAnsi="仿宋_GB2312" w:cs="仿宋_GB2312" w:eastAsia="仿宋_GB2312"/>
              </w:rPr>
              <w:t>用地布局及指标优化等内容，形成</w:t>
            </w:r>
            <w:r>
              <w:rPr>
                <w:rFonts w:ascii="仿宋_GB2312" w:hAnsi="仿宋_GB2312" w:cs="仿宋_GB2312" w:eastAsia="仿宋_GB2312"/>
              </w:rPr>
              <w:t>分期实施计划及具体实施建议，构建近期实施项目库，辅助规划审批，保障规划质量，提高规划工作效率。</w:t>
            </w:r>
          </w:p>
          <w:p>
            <w:pPr>
              <w:pStyle w:val="null3"/>
              <w:ind w:firstLine="422"/>
              <w:jc w:val="both"/>
            </w:pPr>
            <w:r>
              <w:rPr>
                <w:rFonts w:ascii="仿宋_GB2312" w:hAnsi="仿宋_GB2312" w:cs="仿宋_GB2312" w:eastAsia="仿宋_GB2312"/>
                <w:b/>
              </w:rPr>
              <w:t>二、服务内容</w:t>
            </w:r>
          </w:p>
          <w:p>
            <w:pPr>
              <w:pStyle w:val="null3"/>
              <w:ind w:firstLine="466"/>
              <w:jc w:val="both"/>
            </w:pPr>
            <w:r>
              <w:rPr>
                <w:rFonts w:ascii="仿宋_GB2312" w:hAnsi="仿宋_GB2312" w:cs="仿宋_GB2312" w:eastAsia="仿宋_GB2312"/>
                <w:b/>
              </w:rPr>
              <w:t>（一</w:t>
            </w:r>
            <w:r>
              <w:rPr>
                <w:rFonts w:ascii="仿宋_GB2312" w:hAnsi="仿宋_GB2312" w:cs="仿宋_GB2312" w:eastAsia="仿宋_GB2312"/>
                <w:b/>
              </w:rPr>
              <w:t>）服务范围</w:t>
            </w:r>
          </w:p>
          <w:p>
            <w:pPr>
              <w:pStyle w:val="null3"/>
              <w:ind w:firstLine="420"/>
              <w:jc w:val="both"/>
            </w:pPr>
            <w:r>
              <w:rPr>
                <w:rFonts w:ascii="仿宋_GB2312" w:hAnsi="仿宋_GB2312" w:cs="仿宋_GB2312" w:eastAsia="仿宋_GB2312"/>
              </w:rPr>
              <w:t>未央区六村堡片区</w:t>
            </w:r>
            <w:r>
              <w:rPr>
                <w:rFonts w:ascii="仿宋_GB2312" w:hAnsi="仿宋_GB2312" w:cs="仿宋_GB2312" w:eastAsia="仿宋_GB2312"/>
              </w:rPr>
              <w:t>范围位于草滩六路以西、尚苑路以南、绕城高速以北、福银高速以东区域。</w:t>
            </w:r>
          </w:p>
          <w:p>
            <w:pPr>
              <w:pStyle w:val="null3"/>
              <w:ind w:firstLine="466"/>
              <w:jc w:val="both"/>
            </w:pPr>
            <w:r>
              <w:rPr>
                <w:rFonts w:ascii="仿宋_GB2312" w:hAnsi="仿宋_GB2312" w:cs="仿宋_GB2312" w:eastAsia="仿宋_GB2312"/>
                <w:b/>
              </w:rPr>
              <w:t>（二</w:t>
            </w:r>
            <w:r>
              <w:rPr>
                <w:rFonts w:ascii="仿宋_GB2312" w:hAnsi="仿宋_GB2312" w:cs="仿宋_GB2312" w:eastAsia="仿宋_GB2312"/>
                <w:b/>
              </w:rPr>
              <w:t>）工作内容</w:t>
            </w:r>
          </w:p>
          <w:p>
            <w:pPr>
              <w:pStyle w:val="null3"/>
              <w:ind w:firstLine="404"/>
              <w:jc w:val="both"/>
            </w:pPr>
            <w:r>
              <w:rPr>
                <w:rFonts w:ascii="仿宋_GB2312" w:hAnsi="仿宋_GB2312" w:cs="仿宋_GB2312" w:eastAsia="仿宋_GB2312"/>
              </w:rPr>
              <w:t>六村堡</w:t>
            </w:r>
            <w:r>
              <w:rPr>
                <w:rFonts w:ascii="仿宋_GB2312" w:hAnsi="仿宋_GB2312" w:cs="仿宋_GB2312" w:eastAsia="仿宋_GB2312"/>
              </w:rPr>
              <w:t>片区实施详细规划研究包括现状评估及指标深化研究，细化落实</w:t>
            </w:r>
            <w:r>
              <w:rPr>
                <w:rFonts w:ascii="仿宋_GB2312" w:hAnsi="仿宋_GB2312" w:cs="仿宋_GB2312" w:eastAsia="仿宋_GB2312"/>
              </w:rPr>
              <w:t>上位规划的传导内容，核实土地权属，提出土地利用规划优化方案；</w:t>
            </w:r>
          </w:p>
          <w:p>
            <w:pPr>
              <w:pStyle w:val="null3"/>
              <w:jc w:val="both"/>
              <w:outlineLvl w:val="2"/>
            </w:pPr>
            <w:r>
              <w:rPr>
                <w:rFonts w:ascii="仿宋_GB2312" w:hAnsi="仿宋_GB2312" w:cs="仿宋_GB2312" w:eastAsia="仿宋_GB2312"/>
                <w:sz w:val="28"/>
                <w:b/>
              </w:rPr>
              <w:t>1、发展定位</w:t>
            </w:r>
          </w:p>
          <w:p>
            <w:pPr>
              <w:pStyle w:val="null3"/>
              <w:ind w:firstLine="404"/>
              <w:jc w:val="both"/>
            </w:pPr>
            <w:r>
              <w:rPr>
                <w:rFonts w:ascii="仿宋_GB2312" w:hAnsi="仿宋_GB2312" w:cs="仿宋_GB2312" w:eastAsia="仿宋_GB2312"/>
              </w:rPr>
              <w:t>构建“一中心两基地一集群”空间布局，打造集研发创新、智能制造、人才培养、国际合作于一体的高科技产业集群，建成为西北地区乃至全国领先的机器人研发、智造和应用示范基地。机器人产业的规模化发展，为未央加快培育新质生产力、构建现代化产业体系提供硬支撑。</w:t>
            </w:r>
          </w:p>
          <w:p>
            <w:pPr>
              <w:pStyle w:val="null3"/>
              <w:jc w:val="both"/>
            </w:pPr>
            <w:r>
              <w:rPr>
                <w:rFonts w:ascii="仿宋_GB2312" w:hAnsi="仿宋_GB2312" w:cs="仿宋_GB2312" w:eastAsia="仿宋_GB2312"/>
              </w:rPr>
              <w:t>2、理清底图底数</w:t>
            </w:r>
          </w:p>
          <w:p>
            <w:pPr>
              <w:pStyle w:val="null3"/>
              <w:ind w:firstLine="404"/>
              <w:jc w:val="both"/>
            </w:pPr>
            <w:r>
              <w:rPr>
                <w:rFonts w:ascii="仿宋_GB2312" w:hAnsi="仿宋_GB2312" w:cs="仿宋_GB2312" w:eastAsia="仿宋_GB2312"/>
              </w:rPr>
              <w:t>基础底图：梳理汇总研究范围内的现状地形图、高分遥感卫星影像图、航拍影像图等作为工作底图。</w:t>
            </w:r>
          </w:p>
          <w:p>
            <w:pPr>
              <w:pStyle w:val="null3"/>
              <w:ind w:firstLine="404"/>
              <w:jc w:val="both"/>
            </w:pPr>
            <w:r>
              <w:rPr>
                <w:rFonts w:ascii="仿宋_GB2312" w:hAnsi="仿宋_GB2312" w:cs="仿宋_GB2312" w:eastAsia="仿宋_GB2312"/>
              </w:rPr>
              <w:t>现状数据：收集整理土地权属、土地储备、现状人口网格数据以及现状公共服务、交通市政设施情况，作为现状调查分析的重要支撑。</w:t>
            </w:r>
          </w:p>
          <w:p>
            <w:pPr>
              <w:pStyle w:val="null3"/>
              <w:ind w:firstLine="404"/>
              <w:jc w:val="both"/>
            </w:pPr>
            <w:r>
              <w:rPr>
                <w:rFonts w:ascii="仿宋_GB2312" w:hAnsi="仿宋_GB2312" w:cs="仿宋_GB2312" w:eastAsia="仿宋_GB2312"/>
              </w:rPr>
              <w:t>相关规划：收集整理详细规划编制范围内的国土空间总体规划、城市功能体系与布局规划、相关专项规划、单元详细规划、已批控规及已编或在编的其他相关法定规划。</w:t>
            </w:r>
          </w:p>
          <w:p>
            <w:pPr>
              <w:pStyle w:val="null3"/>
              <w:jc w:val="both"/>
              <w:outlineLvl w:val="2"/>
            </w:pPr>
            <w:r>
              <w:rPr>
                <w:rFonts w:ascii="仿宋_GB2312" w:hAnsi="仿宋_GB2312" w:cs="仿宋_GB2312" w:eastAsia="仿宋_GB2312"/>
                <w:sz w:val="28"/>
                <w:b/>
              </w:rPr>
              <w:t>3、开展现状评估</w:t>
            </w:r>
          </w:p>
          <w:p>
            <w:pPr>
              <w:pStyle w:val="null3"/>
              <w:ind w:firstLine="404"/>
              <w:jc w:val="both"/>
            </w:pPr>
            <w:r>
              <w:rPr>
                <w:rFonts w:ascii="仿宋_GB2312" w:hAnsi="仿宋_GB2312" w:cs="仿宋_GB2312" w:eastAsia="仿宋_GB2312"/>
              </w:rPr>
              <w:t>现状建设情况：结合高分遥感卫星影像图、航拍影像图，分析研究范围内现状建设情况，以及编制范围地块与周边建成地区的关系。</w:t>
            </w:r>
          </w:p>
          <w:p>
            <w:pPr>
              <w:pStyle w:val="null3"/>
              <w:ind w:firstLine="404"/>
              <w:jc w:val="both"/>
            </w:pPr>
            <w:r>
              <w:rPr>
                <w:rFonts w:ascii="仿宋_GB2312" w:hAnsi="仿宋_GB2312" w:cs="仿宋_GB2312" w:eastAsia="仿宋_GB2312"/>
              </w:rPr>
              <w:t>土地利用现状：梳理研究范围内土地利用现状，明确各地块的用地性质、用地面积、现状容积率、建筑高度等情况，形成土地利用现状图。</w:t>
            </w:r>
          </w:p>
          <w:p>
            <w:pPr>
              <w:pStyle w:val="null3"/>
              <w:ind w:firstLine="404"/>
              <w:jc w:val="both"/>
            </w:pPr>
            <w:r>
              <w:rPr>
                <w:rFonts w:ascii="仿宋_GB2312" w:hAnsi="仿宋_GB2312" w:cs="仿宋_GB2312" w:eastAsia="仿宋_GB2312"/>
              </w:rPr>
              <w:t>土地权属及储备：进一步摸清研究范围内土地权属及储备情况，结合权籍调查、行政许可、实地考察等工作，明确各地块边界及权利人情况，以及已出让、已储备、待储备等用地情况，形成土地储备现状图。</w:t>
            </w:r>
          </w:p>
          <w:p>
            <w:pPr>
              <w:pStyle w:val="null3"/>
              <w:ind w:firstLine="404"/>
              <w:jc w:val="both"/>
            </w:pPr>
            <w:r>
              <w:rPr>
                <w:rFonts w:ascii="仿宋_GB2312" w:hAnsi="仿宋_GB2312" w:cs="仿宋_GB2312" w:eastAsia="仿宋_GB2312"/>
              </w:rPr>
              <w:t>开发建设动态：梳理研究范围内开发建设动态，明确现状已建、在（待）建、规划等建设动态情况，形成开发建设动态图。</w:t>
            </w:r>
          </w:p>
          <w:p>
            <w:pPr>
              <w:pStyle w:val="null3"/>
              <w:jc w:val="both"/>
              <w:outlineLvl w:val="2"/>
            </w:pPr>
            <w:r>
              <w:rPr>
                <w:rFonts w:ascii="仿宋_GB2312" w:hAnsi="仿宋_GB2312" w:cs="仿宋_GB2312" w:eastAsia="仿宋_GB2312"/>
                <w:sz w:val="28"/>
                <w:b/>
              </w:rPr>
              <w:t>4、上位规划传导</w:t>
            </w:r>
          </w:p>
          <w:p>
            <w:pPr>
              <w:pStyle w:val="null3"/>
              <w:ind w:firstLine="404"/>
              <w:jc w:val="both"/>
            </w:pPr>
            <w:r>
              <w:rPr>
                <w:rFonts w:ascii="仿宋_GB2312" w:hAnsi="仿宋_GB2312" w:cs="仿宋_GB2312" w:eastAsia="仿宋_GB2312"/>
              </w:rPr>
              <w:t>梳理编制范围内区县国土空间总体规划，城市功能体系与布局规划等规划成果，明确上位规划的传导内容及管控要求，明确编制范围与产业片区的关系。</w:t>
            </w:r>
          </w:p>
          <w:p>
            <w:pPr>
              <w:pStyle w:val="null3"/>
              <w:jc w:val="both"/>
              <w:outlineLvl w:val="2"/>
            </w:pPr>
            <w:r>
              <w:rPr>
                <w:rFonts w:ascii="仿宋_GB2312" w:hAnsi="仿宋_GB2312" w:cs="仿宋_GB2312" w:eastAsia="仿宋_GB2312"/>
                <w:sz w:val="28"/>
                <w:b/>
              </w:rPr>
              <w:t>5、单元研究内容</w:t>
            </w:r>
          </w:p>
          <w:p>
            <w:pPr>
              <w:pStyle w:val="null3"/>
              <w:ind w:firstLine="404"/>
              <w:jc w:val="both"/>
            </w:pPr>
            <w:r>
              <w:rPr>
                <w:rFonts w:ascii="仿宋_GB2312" w:hAnsi="仿宋_GB2312" w:cs="仿宋_GB2312" w:eastAsia="仿宋_GB2312"/>
              </w:rPr>
              <w:t>（1）强制性内容：中心城区范围内以区县国土空间总体规划为依据，中心城区范围外以规划用地一张图为依据，形成单元范围的用地布局底图，同时衔接专项规划设施布局与管控要求，明确本次规划用地与单元范围内的公共服务设施、市政基础设施、道路交通设施、公共绿地等强制性内容是否存在冲突矛盾。</w:t>
            </w:r>
          </w:p>
          <w:p>
            <w:pPr>
              <w:pStyle w:val="null3"/>
              <w:ind w:firstLine="404"/>
              <w:jc w:val="both"/>
            </w:pPr>
            <w:r>
              <w:rPr>
                <w:rFonts w:ascii="仿宋_GB2312" w:hAnsi="仿宋_GB2312" w:cs="仿宋_GB2312" w:eastAsia="仿宋_GB2312"/>
              </w:rPr>
              <w:t>（2）其他相关内容：产业用地应结合产业片区规划，明确产业用地布局、面积、产业类型，是否符合产业正负面清单等内容。</w:t>
            </w:r>
          </w:p>
          <w:p>
            <w:pPr>
              <w:pStyle w:val="null3"/>
              <w:jc w:val="both"/>
              <w:outlineLvl w:val="2"/>
            </w:pPr>
            <w:r>
              <w:rPr>
                <w:rFonts w:ascii="仿宋_GB2312" w:hAnsi="仿宋_GB2312" w:cs="仿宋_GB2312" w:eastAsia="仿宋_GB2312"/>
                <w:sz w:val="28"/>
                <w:b/>
              </w:rPr>
              <w:t>6、规划控制指标</w:t>
            </w:r>
          </w:p>
          <w:p>
            <w:pPr>
              <w:pStyle w:val="null3"/>
              <w:ind w:firstLine="404"/>
              <w:jc w:val="both"/>
            </w:pPr>
            <w:r>
              <w:rPr>
                <w:rFonts w:ascii="仿宋_GB2312" w:hAnsi="仿宋_GB2312" w:cs="仿宋_GB2312" w:eastAsia="仿宋_GB2312"/>
              </w:rPr>
              <w:t>依据上位规划要求优化和深化指标，包括容积率、绿地率、建筑密度、建筑高度度、建筑限高、建筑控制线、城市“五线”线位、等级、规模等控制指标和要求。明确地块总建筑面积、计容建筑面积、地上地下建筑面积及不同用途建筑面积。确定各类配套设施的类别、数量、空间布局、用地面积、建筑面积、建设形式以及规划状态等控制要求。</w:t>
            </w:r>
          </w:p>
          <w:p>
            <w:pPr>
              <w:pStyle w:val="null3"/>
              <w:jc w:val="both"/>
              <w:outlineLvl w:val="2"/>
            </w:pPr>
            <w:r>
              <w:rPr>
                <w:rFonts w:ascii="仿宋_GB2312" w:hAnsi="仿宋_GB2312" w:cs="仿宋_GB2312" w:eastAsia="仿宋_GB2312"/>
                <w:sz w:val="28"/>
                <w:b/>
              </w:rPr>
              <w:t>7、综合交通</w:t>
            </w:r>
          </w:p>
          <w:p>
            <w:pPr>
              <w:pStyle w:val="null3"/>
              <w:ind w:firstLine="404"/>
              <w:jc w:val="both"/>
            </w:pPr>
            <w:r>
              <w:rPr>
                <w:rFonts w:ascii="仿宋_GB2312" w:hAnsi="仿宋_GB2312" w:cs="仿宋_GB2312" w:eastAsia="仿宋_GB2312"/>
              </w:rPr>
              <w:t>严格落实单元层面详细规划确定的铁路、公路、各级城市道路用地界限；明确道路红线、控制点坐标、禁止开口路段，提出道路断面及交叉口形式指引性要求，提出道路渠化方案；提出地块出入口的设置方向指引；</w:t>
            </w:r>
          </w:p>
          <w:p>
            <w:pPr>
              <w:pStyle w:val="null3"/>
              <w:jc w:val="both"/>
              <w:outlineLvl w:val="2"/>
            </w:pPr>
            <w:r>
              <w:rPr>
                <w:rFonts w:ascii="仿宋_GB2312" w:hAnsi="仿宋_GB2312" w:cs="仿宋_GB2312" w:eastAsia="仿宋_GB2312"/>
                <w:sz w:val="28"/>
                <w:b/>
              </w:rPr>
              <w:t>8、城市设计</w:t>
            </w:r>
          </w:p>
          <w:p>
            <w:pPr>
              <w:pStyle w:val="null3"/>
              <w:ind w:firstLine="404"/>
              <w:jc w:val="both"/>
            </w:pPr>
            <w:r>
              <w:rPr>
                <w:rFonts w:ascii="仿宋_GB2312" w:hAnsi="仿宋_GB2312" w:cs="仿宋_GB2312" w:eastAsia="仿宋_GB2312"/>
              </w:rPr>
              <w:t>落实上位规划确定的城市设计传导要求，结合《西安市国土空间规划城市设计导则（试行）》及西安市关于城市设计的相关法律法规及政策文件，提出实施详细规划层面的城市设计管控要求。对地块的街道界面控制、建筑控制、空间尺度引导、绿道贯通等方面内容进行管控。</w:t>
            </w:r>
          </w:p>
          <w:p>
            <w:pPr>
              <w:pStyle w:val="null3"/>
              <w:jc w:val="both"/>
              <w:outlineLvl w:val="2"/>
            </w:pPr>
            <w:r>
              <w:rPr>
                <w:rFonts w:ascii="仿宋_GB2312" w:hAnsi="仿宋_GB2312" w:cs="仿宋_GB2312" w:eastAsia="仿宋_GB2312"/>
                <w:sz w:val="28"/>
                <w:b/>
              </w:rPr>
              <w:t>9、规划条件</w:t>
            </w:r>
          </w:p>
          <w:p>
            <w:pPr>
              <w:pStyle w:val="null3"/>
              <w:ind w:firstLine="404"/>
              <w:jc w:val="both"/>
            </w:pPr>
            <w:r>
              <w:rPr>
                <w:rFonts w:ascii="仿宋_GB2312" w:hAnsi="仿宋_GB2312" w:cs="仿宋_GB2312" w:eastAsia="仿宋_GB2312"/>
              </w:rPr>
              <w:t>明确地块规划条件核心指标一览表、地块配套设施配建一览表以及《西安市国土空间规划城市设计导则》具体导控要求。</w:t>
            </w:r>
          </w:p>
          <w:p>
            <w:pPr>
              <w:pStyle w:val="null3"/>
              <w:jc w:val="both"/>
              <w:outlineLvl w:val="2"/>
            </w:pPr>
            <w:r>
              <w:rPr>
                <w:rFonts w:ascii="仿宋_GB2312" w:hAnsi="仿宋_GB2312" w:cs="仿宋_GB2312" w:eastAsia="仿宋_GB2312"/>
                <w:sz w:val="28"/>
                <w:b/>
              </w:rPr>
              <w:t>10、供地方案</w:t>
            </w:r>
          </w:p>
          <w:p>
            <w:pPr>
              <w:pStyle w:val="null3"/>
              <w:ind w:firstLine="404"/>
              <w:jc w:val="both"/>
            </w:pPr>
            <w:r>
              <w:rPr>
                <w:rFonts w:ascii="仿宋_GB2312" w:hAnsi="仿宋_GB2312" w:cs="仿宋_GB2312" w:eastAsia="仿宋_GB2312"/>
              </w:rPr>
              <w:t>三图一表，包括单元详细规划图、实施详细规划图、建设方案意向图及宗地供应方案一览表。</w:t>
            </w:r>
          </w:p>
          <w:p>
            <w:pPr>
              <w:pStyle w:val="null3"/>
              <w:ind w:firstLine="422"/>
              <w:jc w:val="both"/>
            </w:pPr>
            <w:r>
              <w:rPr>
                <w:rFonts w:ascii="仿宋_GB2312" w:hAnsi="仿宋_GB2312" w:cs="仿宋_GB2312" w:eastAsia="仿宋_GB2312"/>
                <w:b/>
              </w:rPr>
              <w:t>三、服务要求</w:t>
            </w:r>
          </w:p>
          <w:p>
            <w:pPr>
              <w:pStyle w:val="null3"/>
              <w:ind w:firstLine="420"/>
              <w:jc w:val="both"/>
            </w:pPr>
            <w:r>
              <w:rPr>
                <w:rFonts w:ascii="仿宋_GB2312" w:hAnsi="仿宋_GB2312" w:cs="仿宋_GB2312" w:eastAsia="仿宋_GB2312"/>
              </w:rPr>
              <w:t>1、资质与经验：供应商须精心组建专业性强的技术服务团队、相关的行业资质和丰富的项目经验，特别是在类似项目上的成功案例，能提供全流程技术服务。</w:t>
            </w:r>
          </w:p>
          <w:p>
            <w:pPr>
              <w:pStyle w:val="null3"/>
              <w:ind w:firstLine="420"/>
              <w:jc w:val="both"/>
            </w:pPr>
            <w:r>
              <w:rPr>
                <w:rFonts w:ascii="仿宋_GB2312" w:hAnsi="仿宋_GB2312" w:cs="仿宋_GB2312" w:eastAsia="仿宋_GB2312"/>
              </w:rPr>
              <w:t>2、团队能力：供应商应具备国</w:t>
            </w:r>
            <w:r>
              <w:rPr>
                <w:rFonts w:ascii="仿宋_GB2312" w:hAnsi="仿宋_GB2312" w:cs="仿宋_GB2312" w:eastAsia="仿宋_GB2312"/>
              </w:rPr>
              <w:t>土</w:t>
            </w:r>
            <w:r>
              <w:rPr>
                <w:rFonts w:ascii="仿宋_GB2312" w:hAnsi="仿宋_GB2312" w:cs="仿宋_GB2312" w:eastAsia="仿宋_GB2312"/>
              </w:rPr>
              <w:t>空间规划成果技术审查、规划编制技术标准研究、数据采集与建库等相关业绩；团队成员应具备丰富的行业知识和专业技能，能够迅速响应项目需求，提供有效的解决方案。</w:t>
            </w:r>
          </w:p>
          <w:p>
            <w:pPr>
              <w:pStyle w:val="null3"/>
              <w:ind w:firstLine="420"/>
              <w:jc w:val="both"/>
            </w:pPr>
            <w:r>
              <w:rPr>
                <w:rFonts w:ascii="仿宋_GB2312" w:hAnsi="仿宋_GB2312" w:cs="仿宋_GB2312" w:eastAsia="仿宋_GB2312"/>
              </w:rPr>
              <w:t>3、技术能力：项目负责人必须是该项目实施全过程的真正组织者和指导者，并担负实质性研究工作，项目组成员近三年承担过规划成果技术审查或类似审查工作。</w:t>
            </w:r>
          </w:p>
          <w:p>
            <w:pPr>
              <w:pStyle w:val="null3"/>
              <w:ind w:firstLine="420"/>
              <w:jc w:val="both"/>
            </w:pPr>
            <w:r>
              <w:rPr>
                <w:rFonts w:ascii="仿宋_GB2312" w:hAnsi="仿宋_GB2312" w:cs="仿宋_GB2312" w:eastAsia="仿宋_GB2312"/>
              </w:rPr>
              <w:t>4、服务能力：在项目服务期间，项目团队须派员驻场办公，驻场人员应具备规划专业中级以上技术职称且具有注册规划师职业资格，并具备相关审查工作经验。</w:t>
            </w:r>
          </w:p>
          <w:p>
            <w:pPr>
              <w:pStyle w:val="null3"/>
              <w:ind w:firstLine="420"/>
              <w:jc w:val="both"/>
            </w:pPr>
            <w:r>
              <w:rPr>
                <w:rFonts w:ascii="仿宋_GB2312" w:hAnsi="仿宋_GB2312" w:cs="仿宋_GB2312" w:eastAsia="仿宋_GB2312"/>
              </w:rPr>
              <w:t>5、保密要求：供应商应严格遵守保密协议，确保项目信息不被泄露。</w:t>
            </w:r>
          </w:p>
          <w:p>
            <w:pPr>
              <w:pStyle w:val="null3"/>
              <w:ind w:firstLine="420"/>
              <w:jc w:val="both"/>
            </w:pPr>
            <w:r>
              <w:rPr>
                <w:rFonts w:ascii="仿宋_GB2312" w:hAnsi="仿宋_GB2312" w:cs="仿宋_GB2312" w:eastAsia="仿宋_GB2312"/>
              </w:rPr>
              <w:t>6、其他要求：项目团队成员及其主要成员履约过程中不得随意更换，确需调整时，须书面提请采购人同意。</w:t>
            </w:r>
          </w:p>
          <w:p>
            <w:pPr>
              <w:pStyle w:val="null3"/>
              <w:ind w:firstLine="422"/>
              <w:jc w:val="left"/>
            </w:pPr>
            <w:r>
              <w:rPr>
                <w:rFonts w:ascii="仿宋_GB2312" w:hAnsi="仿宋_GB2312" w:cs="仿宋_GB2312" w:eastAsia="仿宋_GB2312"/>
                <w:b/>
                <w:shd w:fill="FFFFFF" w:val="clear"/>
              </w:rPr>
              <w:t>四、服务期限</w:t>
            </w:r>
          </w:p>
          <w:p>
            <w:pPr>
              <w:pStyle w:val="null3"/>
              <w:ind w:firstLine="412"/>
              <w:jc w:val="left"/>
            </w:pPr>
            <w:r>
              <w:rPr>
                <w:rFonts w:ascii="仿宋_GB2312" w:hAnsi="仿宋_GB2312" w:cs="仿宋_GB2312" w:eastAsia="仿宋_GB2312"/>
                <w:color w:val="000000"/>
                <w:shd w:fill="FFFFFF" w:val="clear"/>
              </w:rPr>
              <w:t>合同签订后90日历天。</w:t>
            </w:r>
          </w:p>
          <w:p>
            <w:pPr>
              <w:pStyle w:val="null3"/>
              <w:ind w:firstLine="422"/>
              <w:jc w:val="left"/>
            </w:pPr>
            <w:r>
              <w:rPr>
                <w:rFonts w:ascii="仿宋_GB2312" w:hAnsi="仿宋_GB2312" w:cs="仿宋_GB2312" w:eastAsia="仿宋_GB2312"/>
                <w:b/>
                <w:shd w:fill="FFFFFF" w:val="clear"/>
              </w:rPr>
              <w:t>五、</w:t>
            </w:r>
            <w:r>
              <w:rPr>
                <w:rFonts w:ascii="仿宋_GB2312" w:hAnsi="仿宋_GB2312" w:cs="仿宋_GB2312" w:eastAsia="仿宋_GB2312"/>
                <w:b/>
                <w:shd w:fill="FFFFFF" w:val="clear"/>
              </w:rPr>
              <w:t>成果要求</w:t>
            </w:r>
          </w:p>
          <w:p>
            <w:pPr>
              <w:pStyle w:val="null3"/>
              <w:ind w:firstLine="420"/>
              <w:jc w:val="left"/>
            </w:pPr>
            <w:r>
              <w:rPr>
                <w:rFonts w:ascii="仿宋_GB2312" w:hAnsi="仿宋_GB2312" w:cs="仿宋_GB2312" w:eastAsia="仿宋_GB2312"/>
                <w:shd w:fill="FFFFFF" w:val="clear"/>
              </w:rPr>
              <w:t>（1）成果内容应完整真实、科学严谨、思路清晰、具有代表性，符合新 形势、新变化、新发展下的现状。</w:t>
            </w:r>
          </w:p>
          <w:p>
            <w:pPr>
              <w:pStyle w:val="null3"/>
              <w:jc w:val="both"/>
            </w:pPr>
            <w:r>
              <w:rPr>
                <w:rFonts w:ascii="仿宋_GB2312" w:hAnsi="仿宋_GB2312" w:cs="仿宋_GB2312" w:eastAsia="仿宋_GB2312"/>
                <w:shd w:fill="FFFFFF" w:val="clear"/>
              </w:rPr>
              <w:t>（2）工作成果包括 ①纸质成果采用 A3 幅面印刷装订，一式三份；②电子成果为与纸质成果相对应的电子文档（pdf 格式）。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根据采购文件及采购人要求执行。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初步设计方案完成审查后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乙方向甲方提交技术成果后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违约责任按《中华人民共和国民法典》处理中的相关条款执行。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3.4.2（响应文件格式-标的清单）本项目服务范围：六村堡工业园区实施性详细规划三图一表；服务要求：符合磋商文件有关技术、商务及其他要求；服务标准：符合国家和省、市有关行业标准及采购人的有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供应商需在项目电子化交易系统中按要求填写《投标函》完成承诺并进行电子签章；提供有效的《基本资格条件承诺函》或按采购文件提供其他证明材料。</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提供财务状况报告或《基本资格条件承诺函》。</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法定代表人授权委托书、被授权人身份证（法定代表人参加磋商时,只需提供法定代表人身份证），被授权人参加开标时，须提供开标前三个月内任意一个月的社保缴纳证明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供应商须具备城乡规划编制甲级资质</w:t>
            </w:r>
          </w:p>
        </w:tc>
        <w:tc>
          <w:tcPr>
            <w:tcW w:type="dxa" w:w="3322"/>
          </w:tcPr>
          <w:p>
            <w:pPr>
              <w:pStyle w:val="null3"/>
            </w:pPr>
            <w:r>
              <w:rPr>
                <w:rFonts w:ascii="仿宋_GB2312" w:hAnsi="仿宋_GB2312" w:cs="仿宋_GB2312" w:eastAsia="仿宋_GB2312"/>
              </w:rPr>
              <w:t>供应商须具备城乡规划编制甲级资质</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其他附件.docx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w:t>
            </w:r>
          </w:p>
        </w:tc>
        <w:tc>
          <w:tcPr>
            <w:tcW w:type="dxa" w:w="2492"/>
          </w:tcPr>
          <w:p>
            <w:pPr>
              <w:pStyle w:val="null3"/>
            </w:pPr>
            <w:r>
              <w:rPr>
                <w:rFonts w:ascii="仿宋_GB2312" w:hAnsi="仿宋_GB2312" w:cs="仿宋_GB2312" w:eastAsia="仿宋_GB2312"/>
              </w:rPr>
              <w:t>区间分值：0-9分 评审标准细化内容： 供应商对项目的理解，内容包含但不限于①项目背景；②项目需求；③工作目标解读等进行综合评审。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区间分值：0-15分 评审标准细化内容： 供应商对项目的实施方案，内容包含但不限于①六村堡工业园区实施性详细规划编制工作方案；②成果产出;③预期效益. 评审标准量化内容： 前述要求的内容均有描述且符合本项目要求的得15分；每缺少一项要求的方案内容扣5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区间分值：0-6分 评审标准细化内容: 供应商提供针对本项目的进度计划，内容包含但不限于①进度计划安排；②进度计划保证措施。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1.项目负责人：同时具备城乡规划专业高级及以上工程师职称及注册城乡规划师执业资格证书的，得5分。 注：注：提供项目负责人相关证书复印件，开标日期前三个月内供应商为其缴纳的至少一个月的社保缴纳证明，不提供或提供不全不得分。 2.拟派项目团队人员（项目负责人除外）： 拟派项目团队人员中具备高级职称且同时具备国家注册城乡规划师资格的，每有一人得 3 分；具备高级职称或只具国家注册城乡规划师资格的，每有一人得 2 分；仅具备中级工程师职称的每有一人得 1 分；最高得 9 分。 注：须提供团队人员证书复印件及身份证复印件，否则不得分。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区间分值：0-10分 评审标准细化内容： 供应商的质量保证方案，内容包括但不限于①质量管理体系；②质量保障措施。 评审标准量化内容： 前述要求的内容均有描述且符合本项目要求的得10分；每缺少一项要求的方案内容扣5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重点难点的理解与进度保障方案</w:t>
            </w:r>
          </w:p>
        </w:tc>
        <w:tc>
          <w:tcPr>
            <w:tcW w:type="dxa" w:w="2492"/>
          </w:tcPr>
          <w:p>
            <w:pPr>
              <w:pStyle w:val="null3"/>
            </w:pPr>
            <w:r>
              <w:rPr>
                <w:rFonts w:ascii="仿宋_GB2312" w:hAnsi="仿宋_GB2312" w:cs="仿宋_GB2312" w:eastAsia="仿宋_GB2312"/>
              </w:rPr>
              <w:t>区间分值：0-6分 评审标准细化内容： 供应商提供针对本项目的重难点分析及解决措施，内容包含但不限于①针对本项目的重难点分析；②针对重难点分析后的预防及解决措施。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供应商提供2022年1月至今类似项目业绩合同（以合同签订时间为准）；一个业绩得2分，最高得10分；评审依据：提供合同复印件并加盖公章。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价格分统一采用低价优先法计算，即满足磋商文件要求且经政策性扣减后总价价格最低的为磋商基准价，其价格分为满分。其他供应商的价格分统一按照下列公式计算：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