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版本号：ZY2025-ZB-CS107920250804001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未央工业园（包含六村堡片区和西航片区）总体发展规划、产业发展规划</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ZY2025-ZB-CS1079</w:t>
      </w:r>
      <w:r>
        <w:br/>
      </w:r>
      <w:r>
        <w:br/>
      </w:r>
      <w:r>
        <w:br/>
      </w:r>
    </w:p>
    <w:p>
      <w:pPr>
        <w:pStyle w:val="null3"/>
        <w:jc w:val="center"/>
        <w:outlineLvl w:val="2"/>
      </w:pPr>
      <w:r>
        <w:rPr>
          <w:rFonts w:ascii="仿宋_GB2312" w:hAnsi="仿宋_GB2312" w:cs="仿宋_GB2312" w:eastAsia="仿宋_GB2312"/>
          <w:sz w:val="28"/>
          <w:b/>
        </w:rPr>
        <w:t>西安未央工业园管理委员会</w:t>
      </w:r>
    </w:p>
    <w:p>
      <w:pPr>
        <w:pStyle w:val="null3"/>
        <w:jc w:val="center"/>
        <w:outlineLvl w:val="2"/>
      </w:pPr>
      <w:r>
        <w:rPr>
          <w:rFonts w:ascii="仿宋_GB2312" w:hAnsi="仿宋_GB2312" w:cs="仿宋_GB2312" w:eastAsia="仿宋_GB2312"/>
          <w:sz w:val="28"/>
          <w:b/>
        </w:rPr>
        <w:t>陕西正翼项目管理咨询有限公司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陕西正翼项目管理咨询有限公司</w:t>
      </w:r>
      <w:r>
        <w:rPr>
          <w:rFonts w:ascii="仿宋_GB2312" w:hAnsi="仿宋_GB2312" w:cs="仿宋_GB2312" w:eastAsia="仿宋_GB2312"/>
        </w:rPr>
        <w:t>（以下简称“代理机构”）受</w:t>
      </w:r>
      <w:r>
        <w:rPr>
          <w:rFonts w:ascii="仿宋_GB2312" w:hAnsi="仿宋_GB2312" w:cs="仿宋_GB2312" w:eastAsia="仿宋_GB2312"/>
        </w:rPr>
        <w:t>西安未央工业园管理委员会</w:t>
      </w:r>
      <w:r>
        <w:rPr>
          <w:rFonts w:ascii="仿宋_GB2312" w:hAnsi="仿宋_GB2312" w:cs="仿宋_GB2312" w:eastAsia="仿宋_GB2312"/>
        </w:rPr>
        <w:t>委托，拟对</w:t>
      </w:r>
      <w:r>
        <w:rPr>
          <w:rFonts w:ascii="仿宋_GB2312" w:hAnsi="仿宋_GB2312" w:cs="仿宋_GB2312" w:eastAsia="仿宋_GB2312"/>
        </w:rPr>
        <w:t>未央工业园（包含六村堡片区和西航片区）总体发展规划、产业发展规划</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ZY2025-ZB-CS1079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未央工业园（包含六村堡片区和西航片区）总体发展规划、产业发展规划</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西安未央工业园管理委员会未央工业园（包含六村堡片区和西航片区）总体发展规划、产业发展规划。</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1、营业执照：营业执照：提供有效合格的具有统一社会信用代码的营业执照，其他组织经营的须提供合法凭证，自然人提供身份证明文件；</w:t>
      </w:r>
    </w:p>
    <w:p>
      <w:pPr>
        <w:pStyle w:val="null3"/>
      </w:pPr>
      <w:r>
        <w:rPr>
          <w:rFonts w:ascii="仿宋_GB2312" w:hAnsi="仿宋_GB2312" w:cs="仿宋_GB2312" w:eastAsia="仿宋_GB2312"/>
        </w:rPr>
        <w:t>2、信用信息：未被列入信用中国网站(www.creditchina.gov.cn)“失信被执行人、重大税收违法失信主体”；不处于中国政府采购网(www.ccgp.gov.cn)“政府采购严重违法失信行为信息记录”中的禁止参加政府采购活动期间</w:t>
      </w:r>
    </w:p>
    <w:p>
      <w:pPr>
        <w:pStyle w:val="null3"/>
      </w:pPr>
      <w:r>
        <w:rPr>
          <w:rFonts w:ascii="仿宋_GB2312" w:hAnsi="仿宋_GB2312" w:cs="仿宋_GB2312" w:eastAsia="仿宋_GB2312"/>
        </w:rPr>
        <w:t>3、法定代表人授权书：法定代表人授权委托书、被授权人身份证（法定代表人参加磋商时,只需提供法定代表人身份证），被授权人参加开标时，须提供开标前三个月内任意一个月的社保缴纳证明。</w:t>
      </w:r>
    </w:p>
    <w:p>
      <w:pPr>
        <w:pStyle w:val="null3"/>
      </w:pPr>
      <w:r>
        <w:rPr>
          <w:rFonts w:ascii="仿宋_GB2312" w:hAnsi="仿宋_GB2312" w:cs="仿宋_GB2312" w:eastAsia="仿宋_GB2312"/>
        </w:rPr>
        <w:t>4、供应商须具备城乡规划编制甲级资质：供应商须具备城乡规划编制甲级资质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西安未央工业园管理委员会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西安市未央区北三环中国燃气西北区域经营管理中心4层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西安未央工业园管理委员会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029-86529550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陕西正翼项目管理咨询有限公司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陕西省西安市未央区西安经济技术开发区凤城一路6号利君V时代B座901、902室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冯丹、张晶、卫现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029-86210100转802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采购包1：1,052,480.00元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代理服务费收费标准：代理服务费收费标准：参照《招标代理服务收费管理暂行办法》(计价格〔2002〕1980号)和《关于招标代理服务费收费有关问题的通知》（发改办价格〔2003〕857号）文件的规定执行。 招标代理服务费缴纳账户： 开户名称：陕西正翼项目管理咨询有限公司西安分公司 开户银行：中国光大银行股份有限公司西安经济技术开发区支行 账 号：78680188000360910</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西安未央工业园管理委员会</w:t>
      </w:r>
      <w:r>
        <w:rPr>
          <w:rFonts w:ascii="仿宋_GB2312" w:hAnsi="仿宋_GB2312" w:cs="仿宋_GB2312" w:eastAsia="仿宋_GB2312"/>
        </w:rPr>
        <w:t>和</w:t>
      </w:r>
      <w:r>
        <w:rPr>
          <w:rFonts w:ascii="仿宋_GB2312" w:hAnsi="仿宋_GB2312" w:cs="仿宋_GB2312" w:eastAsia="仿宋_GB2312"/>
        </w:rPr>
        <w:t>陕西正翼项目管理咨询有限公司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西安未央工业园管理委员会</w:t>
      </w:r>
      <w:r>
        <w:rPr>
          <w:rFonts w:ascii="仿宋_GB2312" w:hAnsi="仿宋_GB2312" w:cs="仿宋_GB2312" w:eastAsia="仿宋_GB2312"/>
        </w:rPr>
        <w:t>负责解释。除上述磋商文件内容，其他内容由</w:t>
      </w:r>
      <w:r>
        <w:rPr>
          <w:rFonts w:ascii="仿宋_GB2312" w:hAnsi="仿宋_GB2312" w:cs="仿宋_GB2312" w:eastAsia="仿宋_GB2312"/>
        </w:rPr>
        <w:t>陕西正翼项目管理咨询有限公司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西安未央工业园管理委员会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陕西正翼项目管理咨询有限公司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（1）磋商文件、磋商响应文件、澄清表（函）；（2）本合同及附件文本；（3）合同签订时国家及行业现行的标准和技术规范</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陕西正翼项目管理咨询有限公司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联系人：冯丹</w:t>
      </w:r>
    </w:p>
    <w:p>
      <w:pPr>
        <w:pStyle w:val="null3"/>
      </w:pPr>
      <w:r>
        <w:rPr>
          <w:rFonts w:ascii="仿宋_GB2312" w:hAnsi="仿宋_GB2312" w:cs="仿宋_GB2312" w:eastAsia="仿宋_GB2312"/>
        </w:rPr>
        <w:t>联系电话：029-86210100转802</w:t>
      </w:r>
    </w:p>
    <w:p>
      <w:pPr>
        <w:pStyle w:val="null3"/>
      </w:pPr>
      <w:r>
        <w:rPr>
          <w:rFonts w:ascii="仿宋_GB2312" w:hAnsi="仿宋_GB2312" w:cs="仿宋_GB2312" w:eastAsia="仿宋_GB2312"/>
        </w:rPr>
        <w:t>地址：陕西省西安市未央区西安经济技术开发区凤城一路6号利君V时代B座901、902室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未央工业园（包含六村堡片区和西航片区）总体发展规划、产业发展规划。</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1,052,480.00</w:t>
      </w:r>
    </w:p>
    <w:p>
      <w:pPr>
        <w:pStyle w:val="null3"/>
      </w:pPr>
      <w:r>
        <w:rPr>
          <w:rFonts w:ascii="仿宋_GB2312" w:hAnsi="仿宋_GB2312" w:cs="仿宋_GB2312" w:eastAsia="仿宋_GB2312"/>
        </w:rPr>
        <w:t>采购包最高限价（元）: 1,052,480.00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未央工业园（包含六村堡片区和西航片区）总体发展规划、产业发展规划</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1,052,480.00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标的名称：未央工业园（包含六村堡片区和西航片区）总体发展规划、产业发展规划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98"/>
              <w:jc w:val="left"/>
            </w:pPr>
            <w:r>
              <w:rPr>
                <w:rFonts w:ascii="仿宋_GB2312" w:hAnsi="仿宋_GB2312" w:cs="仿宋_GB2312" w:eastAsia="仿宋_GB2312"/>
                <w:b/>
                <w:color w:val="000000"/>
                <w:shd w:fill="FFFFFF" w:val="clear"/>
              </w:rPr>
              <w:t>一、项目概况</w:t>
            </w:r>
          </w:p>
          <w:p>
            <w:pPr>
              <w:pStyle w:val="null3"/>
              <w:ind w:firstLine="412"/>
              <w:jc w:val="left"/>
            </w:pPr>
            <w:r>
              <w:rPr>
                <w:rFonts w:ascii="仿宋_GB2312" w:hAnsi="仿宋_GB2312" w:cs="仿宋_GB2312" w:eastAsia="仿宋_GB2312"/>
                <w:color w:val="000000"/>
                <w:shd w:fill="FFFFFF" w:val="clear"/>
              </w:rPr>
              <w:t>为加强西安市产业发展承载能力建设，进一步夯实产业发展空间，更好支撑重大项目快速落地，集中资源力量加快产业园区建设，制定本次用地实施方案和产业发展规划。聚焦“土地整备、基建配套、产业规划”三大核心任务，按照五类用地分类要求加大土地整备力度，制定基础设施建设年度计划，制定工业园区建设实施方案。根据园区招商指南，产业精准导入，制定土地供应计划，建立“储地-基建-招商-服务”全链条机制，保障工业园区高效建设。</w:t>
            </w:r>
          </w:p>
          <w:p>
            <w:pPr>
              <w:pStyle w:val="null3"/>
              <w:ind w:firstLine="398"/>
              <w:jc w:val="left"/>
            </w:pPr>
            <w:r>
              <w:rPr>
                <w:rFonts w:ascii="仿宋_GB2312" w:hAnsi="仿宋_GB2312" w:cs="仿宋_GB2312" w:eastAsia="仿宋_GB2312"/>
                <w:b/>
                <w:color w:val="000000"/>
                <w:shd w:fill="FFFFFF" w:val="clear"/>
              </w:rPr>
              <w:t>规划范围及位置</w:t>
            </w:r>
          </w:p>
          <w:tbl>
            <w:tblPr>
              <w:tblBorders>
                <w:top w:val="none" w:color="000000" w:sz="4"/>
                <w:left w:val="none" w:color="000000" w:sz="4"/>
                <w:bottom w:val="none" w:color="000000" w:sz="4"/>
                <w:right w:val="none" w:color="000000" w:sz="4"/>
                <w:insideH w:val="none"/>
                <w:insideV w:val="none"/>
              </w:tblBorders>
            </w:tblPr>
            <w:tblGrid>
              <w:gridCol w:w="174"/>
              <w:gridCol w:w="464"/>
              <w:gridCol w:w="335"/>
              <w:gridCol w:w="1564"/>
            </w:tblGrid>
            <w:tr>
              <w:tc>
                <w:tcPr>
                  <w:tcW w:type="dxa" w:w="174"/>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b/>
                      <w:color w:val="000000"/>
                    </w:rPr>
                    <w:t>序号</w:t>
                  </w:r>
                </w:p>
              </w:tc>
              <w:tc>
                <w:tcPr>
                  <w:tcW w:type="dxa" w:w="4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b/>
                      <w:color w:val="000000"/>
                    </w:rPr>
                    <w:t>未央区工业园产业片区</w:t>
                  </w:r>
                </w:p>
              </w:tc>
              <w:tc>
                <w:tcPr>
                  <w:tcW w:type="dxa" w:w="335"/>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b/>
                    </w:rPr>
                    <w:t>规划范围</w:t>
                  </w:r>
                  <w:r>
                    <w:rPr>
                      <w:rFonts w:ascii="仿宋_GB2312" w:hAnsi="仿宋_GB2312" w:cs="仿宋_GB2312" w:eastAsia="仿宋_GB2312"/>
                      <w:sz w:val="19"/>
                      <w:b/>
                      <w:color w:val="000000"/>
                    </w:rPr>
                    <w:t>（亩)</w:t>
                  </w:r>
                </w:p>
              </w:tc>
              <w:tc>
                <w:tcPr>
                  <w:tcW w:type="dxa" w:w="1564"/>
                  <w:tcBorders>
                    <w:top w:val="singl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b/>
                    </w:rPr>
                    <w:t>位置</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color w:val="000000"/>
                    </w:rPr>
                    <w:t>1</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rPr>
                    <w:t>六村堡片区</w:t>
                  </w: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rPr>
                    <w:t>2530.85</w:t>
                  </w:r>
                </w:p>
              </w:tc>
              <w:tc>
                <w:tcPr>
                  <w:tcW w:type="dxa" w:w="15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草滩六路以西、尚苑路以南、绕城高速以北、福银高速以东区域</w:t>
                  </w:r>
                </w:p>
              </w:tc>
            </w:tr>
            <w:tr>
              <w:tc>
                <w:tcPr>
                  <w:tcW w:type="dxa" w:w="174"/>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color w:val="000000"/>
                    </w:rPr>
                    <w:t>2</w:t>
                  </w:r>
                </w:p>
              </w:tc>
              <w:tc>
                <w:tcPr>
                  <w:tcW w:type="dxa" w:w="4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rPr>
                    <w:t>西航片区</w:t>
                  </w:r>
                </w:p>
              </w:tc>
              <w:tc>
                <w:tcPr>
                  <w:tcW w:type="dxa" w:w="335"/>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ind w:firstLine="420"/>
                    <w:jc w:val="left"/>
                  </w:pPr>
                  <w:r>
                    <w:rPr>
                      <w:rFonts w:ascii="仿宋_GB2312" w:hAnsi="仿宋_GB2312" w:cs="仿宋_GB2312" w:eastAsia="仿宋_GB2312"/>
                      <w:sz w:val="19"/>
                    </w:rPr>
                    <w:t>3670.35</w:t>
                  </w:r>
                </w:p>
              </w:tc>
              <w:tc>
                <w:tcPr>
                  <w:tcW w:type="dxa" w:w="1564"/>
                  <w:tcBorders>
                    <w:top w:val="none" w:color="000000" w:sz="4"/>
                    <w:left w:val="none" w:color="000000" w:sz="4"/>
                    <w:bottom w:val="single" w:color="000000" w:sz="4"/>
                    <w:right w:val="single" w:color="000000" w:sz="4"/>
                  </w:tcBorders>
                  <w:tcMar>
                    <w:top w:type="dxa" w:w="0"/>
                    <w:left w:type="dxa" w:w="0"/>
                    <w:bottom w:type="dxa" w:w="0"/>
                    <w:right w:type="dxa" w:w="0"/>
                  </w:tcMar>
                  <w:vAlign w:val="top"/>
                </w:tcPr>
                <w:p>
                  <w:pPr>
                    <w:pStyle w:val="null3"/>
                    <w:jc w:val="left"/>
                  </w:pPr>
                  <w:r>
                    <w:rPr>
                      <w:rFonts w:ascii="仿宋_GB2312" w:hAnsi="仿宋_GB2312" w:cs="仿宋_GB2312" w:eastAsia="仿宋_GB2312"/>
                      <w:sz w:val="19"/>
                    </w:rPr>
                    <w:t>龙朔南路以东，红旗路以北，太华北路以西，绕城高速以南</w:t>
                  </w:r>
                </w:p>
              </w:tc>
            </w:tr>
          </w:tbl>
          <w:p>
            <w:pPr>
              <w:pStyle w:val="null3"/>
              <w:ind w:firstLine="422"/>
              <w:jc w:val="left"/>
            </w:pPr>
            <w:r>
              <w:rPr>
                <w:rFonts w:ascii="仿宋_GB2312" w:hAnsi="仿宋_GB2312" w:cs="仿宋_GB2312" w:eastAsia="仿宋_GB2312"/>
                <w:b/>
              </w:rPr>
              <w:t>二、规划内容</w:t>
            </w:r>
          </w:p>
          <w:p>
            <w:pPr>
              <w:pStyle w:val="null3"/>
              <w:ind w:firstLine="422"/>
              <w:jc w:val="left"/>
            </w:pPr>
            <w:r>
              <w:rPr>
                <w:rFonts w:ascii="仿宋_GB2312" w:hAnsi="仿宋_GB2312" w:cs="仿宋_GB2312" w:eastAsia="仿宋_GB2312"/>
                <w:b/>
              </w:rPr>
              <w:t>（一）总体发展规划</w:t>
            </w:r>
          </w:p>
          <w:p>
            <w:pPr>
              <w:pStyle w:val="null3"/>
              <w:ind w:firstLine="420"/>
              <w:jc w:val="left"/>
            </w:pPr>
            <w:r>
              <w:rPr>
                <w:rFonts w:ascii="仿宋_GB2312" w:hAnsi="仿宋_GB2312" w:cs="仿宋_GB2312" w:eastAsia="仿宋_GB2312"/>
              </w:rPr>
              <w:t>六村堡片区：位于未央区福银高速以东，北三环以北，草滩八路以西，郑西高铁以南，规划用地规模为</w:t>
            </w:r>
            <w:r>
              <w:rPr>
                <w:rFonts w:ascii="仿宋_GB2312" w:hAnsi="仿宋_GB2312" w:cs="仿宋_GB2312" w:eastAsia="仿宋_GB2312"/>
              </w:rPr>
              <w:t>4037亩</w:t>
            </w:r>
            <w:r>
              <w:rPr>
                <w:rFonts w:ascii="仿宋_GB2312" w:hAnsi="仿宋_GB2312" w:cs="仿宋_GB2312" w:eastAsia="仿宋_GB2312"/>
              </w:rPr>
              <w:t>。总体发展规划内容包括明确现状用地情况和用地权属；落实西安国土空间总体规划、专项规划等相关要求；明细功能体系和布局指引规划要求，确定土地使用性质及其兼容性等用地功能控制要求；单元详细规划确定单元综合容积率、建设指引等指标；确定基础设施、公共服务设施、公共安全设施的用地规模、范围及其具体控制要求；形成项目主体突出、特点明显、功能分区合理、配套设备完善的总平面布局，制定科学、合理的道路交通组织体系。</w:t>
            </w:r>
          </w:p>
          <w:p>
            <w:pPr>
              <w:pStyle w:val="null3"/>
              <w:ind w:firstLine="420"/>
              <w:jc w:val="left"/>
            </w:pPr>
            <w:r>
              <w:rPr>
                <w:rFonts w:ascii="仿宋_GB2312" w:hAnsi="仿宋_GB2312" w:cs="仿宋_GB2312" w:eastAsia="仿宋_GB2312"/>
              </w:rPr>
              <w:t>西航片区：位于龙朔南路以东，红旗路以北，太华北路以西，绕城高速以南，规划用地规模为约3670亩。结合西安功能体系规划传导，立足片区发展现状，研判制约其发展的关键问题；分析片区面临的大环境变化、区域态势及发展机遇；分析资源禀赋，研判区域需求，挖掘核心价值。基于功能定位及发展目标，提出有针对性的发展策略。梳理现状空间格局，结合功能定位及功能板块发展需求，提出合理的空间结构。</w:t>
            </w:r>
          </w:p>
          <w:p>
            <w:pPr>
              <w:pStyle w:val="null3"/>
              <w:jc w:val="left"/>
            </w:pPr>
            <w:r>
              <w:rPr>
                <w:rFonts w:ascii="仿宋_GB2312" w:hAnsi="仿宋_GB2312" w:cs="仿宋_GB2312" w:eastAsia="仿宋_GB2312"/>
                <w:b/>
              </w:rPr>
              <w:t>（二）产业发展规划</w:t>
            </w:r>
            <w:r>
              <w:br/>
            </w:r>
            <w:r>
              <w:rPr>
                <w:rFonts w:ascii="仿宋_GB2312" w:hAnsi="仿宋_GB2312" w:cs="仿宋_GB2312" w:eastAsia="仿宋_GB2312"/>
              </w:rPr>
              <w:t xml:space="preserve"> 六村堡片区：提出产业体系构建的总体思路，明确片区的主导产业及细分领域，需聚</w:t>
            </w:r>
          </w:p>
          <w:p>
            <w:pPr>
              <w:pStyle w:val="null3"/>
              <w:jc w:val="left"/>
            </w:pPr>
            <w:r>
              <w:rPr>
                <w:rFonts w:ascii="仿宋_GB2312" w:hAnsi="仿宋_GB2312" w:cs="仿宋_GB2312" w:eastAsia="仿宋_GB2312"/>
              </w:rPr>
              <w:t>焦智能装备与新材料产业，系统梳理西安市在该领域的竞争格局，识别片区产业链短板，提出补链强链路径及关键技术突破方向，同步规划生产性服务业配套体系，推动产业链上下游协同发展。</w:t>
            </w:r>
          </w:p>
          <w:p>
            <w:pPr>
              <w:pStyle w:val="null3"/>
              <w:ind w:firstLine="420"/>
              <w:jc w:val="left"/>
            </w:pPr>
            <w:r>
              <w:rPr>
                <w:rFonts w:ascii="仿宋_GB2312" w:hAnsi="仿宋_GB2312" w:cs="仿宋_GB2312" w:eastAsia="仿宋_GB2312"/>
                <w:shd w:fill="FFFFFF" w:val="clear"/>
              </w:rPr>
              <w:t>西航片区：提出产业体系构建的总体思路，明确片区的主导产业及细分领域，需围绕航空装备与高端制造产业，分析区域创新资源禀赋，制定产业准入负面清单与空间管控要求，规划生产性服务业配套体系，提出绿色集约发展约束指标。</w:t>
            </w:r>
          </w:p>
          <w:p>
            <w:pPr>
              <w:pStyle w:val="null3"/>
              <w:ind w:firstLine="414"/>
              <w:jc w:val="left"/>
            </w:pPr>
            <w:r>
              <w:rPr>
                <w:rFonts w:ascii="仿宋_GB2312" w:hAnsi="仿宋_GB2312" w:cs="仿宋_GB2312" w:eastAsia="仿宋_GB2312"/>
                <w:b/>
                <w:color w:val="000000"/>
                <w:shd w:fill="FFFFFF" w:val="clear"/>
              </w:rPr>
              <w:t>主要任务</w:t>
            </w:r>
            <w:r>
              <w:rPr>
                <w:rFonts w:ascii="仿宋_GB2312" w:hAnsi="仿宋_GB2312" w:cs="仿宋_GB2312" w:eastAsia="仿宋_GB2312"/>
                <w:color w:val="000000"/>
                <w:shd w:fill="FFFFFF" w:val="clear"/>
              </w:rPr>
              <w:t>：划分功能分区，明确各分区的产业准入类型、空间管控要求；提出产业链补链、强链、延链的重点方向，明确需突破的关键环节；完善产业配套体系，包括生产性服务业、基础设施配套等需规划的内容。</w:t>
            </w:r>
          </w:p>
          <w:p>
            <w:pPr>
              <w:pStyle w:val="null3"/>
              <w:ind w:firstLine="414"/>
              <w:jc w:val="left"/>
            </w:pPr>
            <w:r>
              <w:rPr>
                <w:rFonts w:ascii="仿宋_GB2312" w:hAnsi="仿宋_GB2312" w:cs="仿宋_GB2312" w:eastAsia="仿宋_GB2312"/>
                <w:b/>
                <w:color w:val="000000"/>
                <w:shd w:fill="FFFFFF" w:val="clear"/>
              </w:rPr>
              <w:t>重点工程：</w:t>
            </w:r>
            <w:r>
              <w:rPr>
                <w:rFonts w:ascii="仿宋_GB2312" w:hAnsi="仿宋_GB2312" w:cs="仿宋_GB2312" w:eastAsia="仿宋_GB2312"/>
                <w:color w:val="000000"/>
                <w:shd w:fill="FFFFFF" w:val="clear"/>
              </w:rPr>
              <w:t>明确需规划的重点工程类型，说明各类工程的核心建设内容和实施范围。</w:t>
            </w:r>
          </w:p>
          <w:p>
            <w:pPr>
              <w:pStyle w:val="null3"/>
              <w:ind w:firstLine="414"/>
              <w:jc w:val="left"/>
            </w:pPr>
            <w:r>
              <w:rPr>
                <w:rFonts w:ascii="仿宋_GB2312" w:hAnsi="仿宋_GB2312" w:cs="仿宋_GB2312" w:eastAsia="仿宋_GB2312"/>
                <w:b/>
                <w:color w:val="000000"/>
                <w:shd w:fill="FFFFFF" w:val="clear"/>
              </w:rPr>
              <w:t>保障措施</w:t>
            </w:r>
            <w:r>
              <w:rPr>
                <w:rFonts w:ascii="仿宋_GB2312" w:hAnsi="仿宋_GB2312" w:cs="仿宋_GB2312" w:eastAsia="仿宋_GB2312"/>
                <w:color w:val="000000"/>
                <w:shd w:fill="FFFFFF" w:val="clear"/>
              </w:rPr>
              <w:t xml:space="preserve">：明确需建立的协调机制、责任分工等；列出需涵盖的土地、金融、人才、审批等政策方向；建立项目评估机制，严控高能耗高排放项目准入。 </w:t>
            </w:r>
          </w:p>
          <w:p>
            <w:pPr>
              <w:pStyle w:val="null3"/>
              <w:ind w:firstLine="414"/>
              <w:jc w:val="left"/>
            </w:pPr>
            <w:r>
              <w:rPr>
                <w:rFonts w:ascii="仿宋_GB2312" w:hAnsi="仿宋_GB2312" w:cs="仿宋_GB2312" w:eastAsia="仿宋_GB2312"/>
                <w:b/>
                <w:color w:val="000000"/>
                <w:shd w:fill="FFFFFF" w:val="clear"/>
              </w:rPr>
              <w:t>重点项目表</w:t>
            </w:r>
            <w:r>
              <w:rPr>
                <w:rFonts w:ascii="仿宋_GB2312" w:hAnsi="仿宋_GB2312" w:cs="仿宋_GB2312" w:eastAsia="仿宋_GB2312"/>
                <w:color w:val="000000"/>
                <w:shd w:fill="FFFFFF" w:val="clear"/>
              </w:rPr>
              <w:t>：明确表格需包含的核心要素，如项目名称、产业领域、建设内容、实施周期等内容。</w:t>
            </w:r>
          </w:p>
          <w:p>
            <w:pPr>
              <w:pStyle w:val="null3"/>
              <w:ind w:firstLine="398"/>
              <w:jc w:val="left"/>
            </w:pPr>
            <w:r>
              <w:rPr>
                <w:rFonts w:ascii="仿宋_GB2312" w:hAnsi="仿宋_GB2312" w:cs="仿宋_GB2312" w:eastAsia="仿宋_GB2312"/>
                <w:b/>
                <w:color w:val="000000"/>
                <w:shd w:fill="FFFFFF" w:val="clear"/>
              </w:rPr>
              <w:t>规划目标</w:t>
            </w:r>
          </w:p>
          <w:p>
            <w:pPr>
              <w:pStyle w:val="null3"/>
              <w:ind w:firstLine="412"/>
              <w:jc w:val="left"/>
            </w:pPr>
            <w:r>
              <w:rPr>
                <w:rFonts w:ascii="仿宋_GB2312" w:hAnsi="仿宋_GB2312" w:cs="仿宋_GB2312" w:eastAsia="仿宋_GB2312"/>
                <w:color w:val="000000"/>
                <w:shd w:fill="FFFFFF" w:val="clear"/>
              </w:rPr>
              <w:t>按照国、省、市自然资源与规划管理机构安排，落实国土空间规划相关法律、法规规范要求，工作重点为集中土地要素资源，加大土地储备和基础设施建设资金保障，为招商引资和产业落户创造条件，实现工业园区建设和工业项目招引落户。通过现场踏勘和资料收集，完成工业园工业用地储备供应和工业园区建设实施方案、未央工业园产业发展规划相关编制工作。</w:t>
            </w:r>
          </w:p>
          <w:p>
            <w:pPr>
              <w:pStyle w:val="null3"/>
              <w:ind w:firstLine="398"/>
              <w:jc w:val="left"/>
            </w:pPr>
            <w:r>
              <w:rPr>
                <w:rFonts w:ascii="仿宋_GB2312" w:hAnsi="仿宋_GB2312" w:cs="仿宋_GB2312" w:eastAsia="仿宋_GB2312"/>
                <w:b/>
                <w:color w:val="000000"/>
                <w:shd w:fill="FFFFFF" w:val="clear"/>
              </w:rPr>
              <w:t>编制依据</w:t>
            </w:r>
          </w:p>
          <w:p>
            <w:pPr>
              <w:pStyle w:val="null3"/>
              <w:ind w:firstLine="412"/>
              <w:jc w:val="left"/>
            </w:pPr>
            <w:r>
              <w:rPr>
                <w:rFonts w:ascii="仿宋_GB2312" w:hAnsi="仿宋_GB2312" w:cs="仿宋_GB2312" w:eastAsia="仿宋_GB2312"/>
                <w:color w:val="000000"/>
                <w:shd w:fill="FFFFFF" w:val="clear"/>
              </w:rPr>
              <w:t>1、招标人给投标人的委托书或设计中标文件。</w:t>
            </w:r>
          </w:p>
          <w:p>
            <w:pPr>
              <w:pStyle w:val="null3"/>
              <w:ind w:firstLine="412"/>
              <w:jc w:val="left"/>
            </w:pPr>
            <w:r>
              <w:rPr>
                <w:rFonts w:ascii="仿宋_GB2312" w:hAnsi="仿宋_GB2312" w:cs="仿宋_GB2312" w:eastAsia="仿宋_GB2312"/>
                <w:color w:val="000000"/>
                <w:shd w:fill="FFFFFF" w:val="clear"/>
              </w:rPr>
              <w:t>2、招标人提交的基础资料。</w:t>
            </w:r>
          </w:p>
          <w:p>
            <w:pPr>
              <w:pStyle w:val="null3"/>
              <w:ind w:firstLine="412"/>
              <w:jc w:val="left"/>
            </w:pPr>
            <w:r>
              <w:rPr>
                <w:rFonts w:ascii="仿宋_GB2312" w:hAnsi="仿宋_GB2312" w:cs="仿宋_GB2312" w:eastAsia="仿宋_GB2312"/>
                <w:color w:val="000000"/>
                <w:shd w:fill="FFFFFF" w:val="clear"/>
              </w:rPr>
              <w:t>3、投标人采用的主要法律规范及技术标准：</w:t>
            </w:r>
          </w:p>
          <w:p>
            <w:pPr>
              <w:pStyle w:val="null3"/>
              <w:ind w:firstLine="412"/>
              <w:jc w:val="left"/>
            </w:pPr>
            <w:r>
              <w:rPr>
                <w:rFonts w:ascii="仿宋_GB2312" w:hAnsi="仿宋_GB2312" w:cs="仿宋_GB2312" w:eastAsia="仿宋_GB2312"/>
                <w:color w:val="000000"/>
                <w:shd w:fill="FFFFFF" w:val="clear"/>
              </w:rPr>
              <w:t>《中华人民共和国城乡规划法》（2019 年修订）</w:t>
            </w:r>
          </w:p>
          <w:p>
            <w:pPr>
              <w:pStyle w:val="null3"/>
              <w:ind w:firstLine="412"/>
              <w:jc w:val="left"/>
            </w:pPr>
            <w:r>
              <w:rPr>
                <w:rFonts w:ascii="仿宋_GB2312" w:hAnsi="仿宋_GB2312" w:cs="仿宋_GB2312" w:eastAsia="仿宋_GB2312"/>
                <w:color w:val="000000"/>
                <w:shd w:fill="FFFFFF" w:val="clear"/>
              </w:rPr>
              <w:t>《中华人民共和国土地管理法》（2019 年修订）</w:t>
            </w:r>
          </w:p>
          <w:p>
            <w:pPr>
              <w:pStyle w:val="null3"/>
              <w:ind w:firstLine="412"/>
              <w:jc w:val="left"/>
            </w:pPr>
            <w:r>
              <w:rPr>
                <w:rFonts w:ascii="仿宋_GB2312" w:hAnsi="仿宋_GB2312" w:cs="仿宋_GB2312" w:eastAsia="仿宋_GB2312"/>
                <w:color w:val="000000"/>
                <w:shd w:fill="FFFFFF" w:val="clear"/>
              </w:rPr>
              <w:t>《中华人民共和国土地管理法实施条例》（2021 年）</w:t>
            </w:r>
          </w:p>
          <w:p>
            <w:pPr>
              <w:pStyle w:val="null3"/>
              <w:ind w:firstLine="412"/>
              <w:jc w:val="left"/>
            </w:pPr>
            <w:r>
              <w:rPr>
                <w:rFonts w:ascii="仿宋_GB2312" w:hAnsi="仿宋_GB2312" w:cs="仿宋_GB2312" w:eastAsia="仿宋_GB2312"/>
                <w:color w:val="000000"/>
                <w:shd w:fill="FFFFFF" w:val="clear"/>
              </w:rPr>
              <w:t>《国土空间调查、规划、用途管制用地用海分类指南（试行）》（2023 年）</w:t>
            </w:r>
          </w:p>
          <w:p>
            <w:pPr>
              <w:pStyle w:val="null3"/>
              <w:ind w:firstLine="412"/>
              <w:jc w:val="left"/>
            </w:pPr>
            <w:r>
              <w:rPr>
                <w:rFonts w:ascii="仿宋_GB2312" w:hAnsi="仿宋_GB2312" w:cs="仿宋_GB2312" w:eastAsia="仿宋_GB2312"/>
                <w:color w:val="000000"/>
                <w:shd w:fill="FFFFFF" w:val="clear"/>
              </w:rPr>
              <w:t>《西安市城乡规划管理技术规定》（试行-第二版）</w:t>
            </w:r>
          </w:p>
          <w:p>
            <w:pPr>
              <w:pStyle w:val="null3"/>
              <w:ind w:firstLine="412"/>
              <w:jc w:val="left"/>
            </w:pPr>
            <w:r>
              <w:rPr>
                <w:rFonts w:ascii="仿宋_GB2312" w:hAnsi="仿宋_GB2312" w:cs="仿宋_GB2312" w:eastAsia="仿宋_GB2312"/>
                <w:color w:val="000000"/>
                <w:shd w:fill="FFFFFF" w:val="clear"/>
              </w:rPr>
              <w:t>4、投标人采用的主要上位规划依据（不限于）：</w:t>
            </w:r>
          </w:p>
          <w:p>
            <w:pPr>
              <w:pStyle w:val="null3"/>
              <w:ind w:firstLine="412"/>
              <w:jc w:val="left"/>
            </w:pPr>
            <w:r>
              <w:rPr>
                <w:rFonts w:ascii="仿宋_GB2312" w:hAnsi="仿宋_GB2312" w:cs="仿宋_GB2312" w:eastAsia="仿宋_GB2312"/>
                <w:color w:val="000000"/>
                <w:shd w:fill="FFFFFF" w:val="clear"/>
              </w:rPr>
              <w:t>《西安市国土空间总体规划 （2021-2035）年》及详细规划、相关专项规划阶段性成果。</w:t>
            </w:r>
          </w:p>
          <w:p>
            <w:pPr>
              <w:pStyle w:val="null3"/>
              <w:ind w:firstLine="422"/>
              <w:jc w:val="left"/>
            </w:pPr>
            <w:r>
              <w:rPr>
                <w:rFonts w:ascii="仿宋_GB2312" w:hAnsi="仿宋_GB2312" w:cs="仿宋_GB2312" w:eastAsia="仿宋_GB2312"/>
                <w:b/>
                <w:shd w:fill="FFFFFF" w:val="clear"/>
              </w:rPr>
              <w:t>三、</w:t>
            </w:r>
            <w:r>
              <w:rPr>
                <w:rFonts w:ascii="仿宋_GB2312" w:hAnsi="仿宋_GB2312" w:cs="仿宋_GB2312" w:eastAsia="仿宋_GB2312"/>
                <w:b/>
                <w:shd w:fill="FFFFFF" w:val="clear"/>
              </w:rPr>
              <w:t>成果要求</w:t>
            </w:r>
          </w:p>
          <w:p>
            <w:pPr>
              <w:pStyle w:val="null3"/>
              <w:ind w:firstLine="420"/>
              <w:jc w:val="left"/>
            </w:pPr>
            <w:r>
              <w:rPr>
                <w:rFonts w:ascii="仿宋_GB2312" w:hAnsi="仿宋_GB2312" w:cs="仿宋_GB2312" w:eastAsia="仿宋_GB2312"/>
                <w:shd w:fill="FFFFFF" w:val="clear"/>
              </w:rPr>
              <w:t>（1）成果内容应完整真实、科学严谨、思路清晰、具有代表性，符合新 形势、新变化、新发展下的现状。</w:t>
            </w:r>
          </w:p>
          <w:p>
            <w:pPr>
              <w:pStyle w:val="null3"/>
              <w:ind w:firstLine="420"/>
              <w:jc w:val="left"/>
            </w:pPr>
            <w:r>
              <w:rPr>
                <w:rFonts w:ascii="仿宋_GB2312" w:hAnsi="仿宋_GB2312" w:cs="仿宋_GB2312" w:eastAsia="仿宋_GB2312"/>
                <w:shd w:fill="FFFFFF" w:val="clear"/>
              </w:rPr>
              <w:t>（2）工作成果包括 ①纸质成果采用 A3 幅面印刷装订，一式三份；②电子成果为与纸质成果相对应的电子文档（pdf 格式）。</w:t>
            </w:r>
          </w:p>
          <w:p>
            <w:pPr>
              <w:pStyle w:val="null3"/>
              <w:ind w:firstLine="422"/>
              <w:jc w:val="left"/>
            </w:pPr>
            <w:r>
              <w:rPr>
                <w:rFonts w:ascii="仿宋_GB2312" w:hAnsi="仿宋_GB2312" w:cs="仿宋_GB2312" w:eastAsia="仿宋_GB2312"/>
                <w:b/>
                <w:shd w:fill="FFFFFF" w:val="clear"/>
              </w:rPr>
              <w:t>四、服务要求</w:t>
            </w:r>
          </w:p>
          <w:p>
            <w:pPr>
              <w:pStyle w:val="null3"/>
              <w:ind w:firstLine="420"/>
              <w:jc w:val="left"/>
            </w:pPr>
            <w:r>
              <w:rPr>
                <w:rFonts w:ascii="仿宋_GB2312" w:hAnsi="仿宋_GB2312" w:cs="仿宋_GB2312" w:eastAsia="仿宋_GB2312"/>
                <w:shd w:fill="FFFFFF" w:val="clear"/>
              </w:rPr>
              <w:t>（1）服务方须指派专属人员与采购人联系服务事宜，服务响应时间应根据采购人实际安排随时调整。</w:t>
            </w:r>
          </w:p>
          <w:p>
            <w:pPr>
              <w:pStyle w:val="null3"/>
              <w:ind w:firstLine="420"/>
              <w:jc w:val="left"/>
            </w:pPr>
            <w:r>
              <w:rPr>
                <w:rFonts w:ascii="仿宋_GB2312" w:hAnsi="仿宋_GB2312" w:cs="仿宋_GB2312" w:eastAsia="仿宋_GB2312"/>
                <w:shd w:fill="FFFFFF" w:val="clear"/>
              </w:rPr>
              <w:t>（2）服务方需根据服务实际情况编制服务方案，服务计划、服务进度安排等方案措施。</w:t>
            </w:r>
          </w:p>
          <w:p>
            <w:pPr>
              <w:pStyle w:val="null3"/>
              <w:ind w:firstLine="420"/>
              <w:jc w:val="left"/>
            </w:pPr>
            <w:r>
              <w:rPr>
                <w:rFonts w:ascii="仿宋_GB2312" w:hAnsi="仿宋_GB2312" w:cs="仿宋_GB2312" w:eastAsia="仿宋_GB2312"/>
                <w:shd w:fill="FFFFFF" w:val="clear"/>
              </w:rPr>
              <w:t>（3）服务方在本项目人员要求技术水平高、组织能力强、有丰富的实践经验，懂管理、善于协调。服务人员中的组织人员、技术人员、监管人员、辅助人员等要求有服务经验或持证上岗；服务队伍稳定，保证整个项目顺利完成，服务方未经采购人同意，不得擅自更换本项目在响应文件中指定的服务队伍。</w:t>
            </w:r>
          </w:p>
          <w:p>
            <w:pPr>
              <w:pStyle w:val="null3"/>
              <w:ind w:firstLine="420"/>
              <w:jc w:val="left"/>
            </w:pPr>
            <w:r>
              <w:rPr>
                <w:rFonts w:ascii="仿宋_GB2312" w:hAnsi="仿宋_GB2312" w:cs="仿宋_GB2312" w:eastAsia="仿宋_GB2312"/>
                <w:shd w:fill="FFFFFF" w:val="clear"/>
              </w:rPr>
              <w:t>（4）服务过程中，严格遵守各种管理规定及规章制度，做到安全文明。</w:t>
            </w:r>
          </w:p>
          <w:p>
            <w:pPr>
              <w:pStyle w:val="null3"/>
              <w:ind w:firstLine="420"/>
              <w:jc w:val="left"/>
            </w:pPr>
            <w:r>
              <w:rPr>
                <w:rFonts w:ascii="仿宋_GB2312" w:hAnsi="仿宋_GB2312" w:cs="仿宋_GB2312" w:eastAsia="仿宋_GB2312"/>
                <w:shd w:fill="FFFFFF" w:val="clear"/>
              </w:rPr>
              <w:t>（5）服务方派遣的服务人员对于在工作中获悉的一切政府工作的信息应严格保守秘密， 不得泄露；对于违反者，给采购人单位造成不良社会影响的，或给采购人单位造成损失的，由服务方承担赔偿责任。</w:t>
            </w:r>
          </w:p>
          <w:p>
            <w:pPr>
              <w:pStyle w:val="null3"/>
              <w:ind w:firstLine="420"/>
              <w:jc w:val="left"/>
            </w:pPr>
            <w:r>
              <w:rPr>
                <w:rFonts w:ascii="仿宋_GB2312" w:hAnsi="仿宋_GB2312" w:cs="仿宋_GB2312" w:eastAsia="仿宋_GB2312"/>
                <w:shd w:fill="FFFFFF" w:val="clear"/>
              </w:rPr>
              <w:t>（6）严格按照国家、陕西省、西安市有关规定及采购人要求进行服务，不得随意更改或者变换服务内容。</w:t>
            </w:r>
          </w:p>
          <w:p>
            <w:pPr>
              <w:pStyle w:val="null3"/>
              <w:ind w:firstLine="422"/>
              <w:jc w:val="left"/>
            </w:pPr>
            <w:r>
              <w:rPr>
                <w:rFonts w:ascii="仿宋_GB2312" w:hAnsi="仿宋_GB2312" w:cs="仿宋_GB2312" w:eastAsia="仿宋_GB2312"/>
                <w:b/>
                <w:shd w:fill="FFFFFF" w:val="clear"/>
              </w:rPr>
              <w:t>五、服务期限</w:t>
            </w:r>
          </w:p>
          <w:p>
            <w:pPr>
              <w:pStyle w:val="null3"/>
              <w:ind w:firstLine="412"/>
              <w:jc w:val="left"/>
            </w:pPr>
            <w:r>
              <w:rPr>
                <w:rFonts w:ascii="仿宋_GB2312" w:hAnsi="仿宋_GB2312" w:cs="仿宋_GB2312" w:eastAsia="仿宋_GB2312"/>
                <w:color w:val="000000"/>
                <w:shd w:fill="FFFFFF" w:val="clear"/>
              </w:rPr>
              <w:t>1.合同签订后90日历天。</w:t>
            </w:r>
          </w:p>
          <w:p>
            <w:pPr>
              <w:pStyle w:val="null3"/>
              <w:jc w:val="both"/>
            </w:pPr>
            <w:r>
              <w:rPr>
                <w:rFonts w:ascii="仿宋_GB2312" w:hAnsi="仿宋_GB2312" w:cs="仿宋_GB2312" w:eastAsia="仿宋_GB2312"/>
                <w:shd w:fill="FFFFFF" w:val="clear"/>
              </w:rPr>
              <w:t>2.人员团队要求:供应商须提供项目负责人1名,拟派团队人员(不包含项目负责人)不少于3人,提供人员不符合要求的将在评审过程中作扣分处理。</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根据采购文件及采购人要求执行。</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根据采购文件要求及合同约定执行。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合同签订后90日历天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根据采购人、采购文件要求及合同约定执行。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规划设计方案经相关会议审议通过后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乙方向甲方提交技术成果当日</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违约责任按《中华人民共和国民法典》处理中的相关条款执行。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事业单位参与磋商时，可不提供财务状况报告、社会保障资金和税收缴纳证明；依法免税或不需要缴纳社会保障资金的供应商，应提供相应证明文件，证明其依法免税或不需要缴纳社会保障资金；自然人（仅限中国公民）参与投标时，只须提供身份证复印件；3.4.2（响应文件格式-标的清单）本项目服务范围：未央工业园（包含六村堡片区和西航片区）总体发展规划、产业发展规划；服务要求：符合磋商文件有关技术、商务及其他要求；服务标准：符合国家和省、市有关行业标准及采购人的有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供应商需在项目电子化交易系统中按要求填写《投标函》完成承诺并进行电子签章；提供有效的《基本资格条件承诺函》或按采购文件提供其他证明材料。</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提供财务状况报告或《基本资格条件承诺函》。</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营业执照：提供有效合格的具有统一社会信用代码的营业执照，其他组织经营的须提供合法凭证，自然人提供身份证明文件；</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未被列入信用中国网站(www.creditchina.gov.cn)“失信被执行人、重大税收违法失信主体”；不处于中国政府采购网(www.ccgp.gov.cn)“政府采购严重违法失信行为信息记录”中的禁止参加政府采购活动期间</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法定代表人授权委托书、被授权人身份证（法定代表人参加磋商时,只需提供法定代表人身份证），被授权人参加开标时，须提供开标前三个月内任意一个月的社保缴纳证明。</w:t>
            </w:r>
          </w:p>
        </w:tc>
        <w:tc>
          <w:tcPr>
            <w:tcW w:type="dxa" w:w="1661"/>
          </w:tcPr>
          <w:p>
            <w:pPr>
              <w:pStyle w:val="null3"/>
            </w:pPr>
            <w:r>
              <w:rPr>
                <w:rFonts w:ascii="仿宋_GB2312" w:hAnsi="仿宋_GB2312" w:cs="仿宋_GB2312" w:eastAsia="仿宋_GB2312"/>
              </w:rPr>
              <w:t>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供应商须具备城乡规划编制甲级资质</w:t>
            </w:r>
          </w:p>
        </w:tc>
        <w:tc>
          <w:tcPr>
            <w:tcW w:type="dxa" w:w="3322"/>
          </w:tcPr>
          <w:p>
            <w:pPr>
              <w:pStyle w:val="null3"/>
            </w:pPr>
            <w:r>
              <w:rPr>
                <w:rFonts w:ascii="仿宋_GB2312" w:hAnsi="仿宋_GB2312" w:cs="仿宋_GB2312" w:eastAsia="仿宋_GB2312"/>
              </w:rPr>
              <w:t>供应商须具备城乡规划编制甲级资质</w:t>
            </w:r>
          </w:p>
        </w:tc>
        <w:tc>
          <w:tcPr>
            <w:tcW w:type="dxa" w:w="1661"/>
          </w:tcPr>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磋商响应文件完整性</w:t>
            </w:r>
          </w:p>
        </w:tc>
        <w:tc>
          <w:tcPr>
            <w:tcW w:type="dxa" w:w="3322"/>
          </w:tcPr>
          <w:p>
            <w:pPr>
              <w:pStyle w:val="null3"/>
            </w:pPr>
            <w:r>
              <w:rPr>
                <w:rFonts w:ascii="仿宋_GB2312" w:hAnsi="仿宋_GB2312" w:cs="仿宋_GB2312" w:eastAsia="仿宋_GB2312"/>
              </w:rPr>
              <w:t>磋商响应文件构成无重大缺项（详细评审除外），按照磋商文件要求的格式编写磋商响应文件</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报价唯一，且没有低于成本价或高于采购预算的</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磋商响应文件有效性</w:t>
            </w:r>
          </w:p>
        </w:tc>
        <w:tc>
          <w:tcPr>
            <w:tcW w:type="dxa" w:w="3322"/>
          </w:tcPr>
          <w:p>
            <w:pPr>
              <w:pStyle w:val="null3"/>
            </w:pPr>
            <w:r>
              <w:rPr>
                <w:rFonts w:ascii="仿宋_GB2312" w:hAnsi="仿宋_GB2312" w:cs="仿宋_GB2312" w:eastAsia="仿宋_GB2312"/>
              </w:rPr>
              <w:t>磋商响应文件的签署、盖章符合磋商文件要求，供应商递交的磋商响应文件与本项目名称一致</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磋商有效期、授权有效期</w:t>
            </w:r>
          </w:p>
        </w:tc>
        <w:tc>
          <w:tcPr>
            <w:tcW w:type="dxa" w:w="3322"/>
          </w:tcPr>
          <w:p>
            <w:pPr>
              <w:pStyle w:val="null3"/>
            </w:pPr>
            <w:r>
              <w:rPr>
                <w:rFonts w:ascii="仿宋_GB2312" w:hAnsi="仿宋_GB2312" w:cs="仿宋_GB2312" w:eastAsia="仿宋_GB2312"/>
              </w:rPr>
              <w:t>文件递交截止之日起90日历日</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磋商响应文件响应性</w:t>
            </w:r>
          </w:p>
        </w:tc>
        <w:tc>
          <w:tcPr>
            <w:tcW w:type="dxa" w:w="3322"/>
          </w:tcPr>
          <w:p>
            <w:pPr>
              <w:pStyle w:val="null3"/>
            </w:pPr>
            <w:r>
              <w:rPr>
                <w:rFonts w:ascii="仿宋_GB2312" w:hAnsi="仿宋_GB2312" w:cs="仿宋_GB2312" w:eastAsia="仿宋_GB2312"/>
              </w:rPr>
              <w:t>服务期限响应磋商文件要求</w:t>
            </w:r>
          </w:p>
        </w:tc>
        <w:tc>
          <w:tcPr>
            <w:tcW w:type="dxa" w:w="1661"/>
          </w:tcPr>
          <w:p>
            <w:pPr>
              <w:pStyle w:val="null3"/>
            </w:pPr>
            <w:r>
              <w:rPr>
                <w:rFonts w:ascii="仿宋_GB2312" w:hAnsi="仿宋_GB2312" w:cs="仿宋_GB2312" w:eastAsia="仿宋_GB2312"/>
              </w:rPr>
              <w:t>响应文件封面 标的清单 报价表 响应函 其他附件.docx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响应文件封面 标的清单 报价表 响应函 其他附件.docx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评审得分相同的，按照最后报价由低到高的顺序推荐。评审得分且最后报价相同的，按照技术指标优劣顺序推荐。评审得分且最后报价且技术指标得分均相同的，由采购人采取随机抽取的方式确定成交供应商。</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w:t>
            </w:r>
          </w:p>
        </w:tc>
        <w:tc>
          <w:tcPr>
            <w:tcW w:type="dxa" w:w="2492"/>
          </w:tcPr>
          <w:p>
            <w:pPr>
              <w:pStyle w:val="null3"/>
            </w:pPr>
            <w:r>
              <w:rPr>
                <w:rFonts w:ascii="仿宋_GB2312" w:hAnsi="仿宋_GB2312" w:cs="仿宋_GB2312" w:eastAsia="仿宋_GB2312"/>
              </w:rPr>
              <w:t>区间分值：0-9分 评审标准细化内容： 供应商对项目的理解，内容包含但不限于①项目背景；②项目需求；③工作目标解读等进行综合评审。 评审标准量化内容： 前述要求的内容均有描述且符合本项目要求的得9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区间分值：0-15分 评审标准细化内容： 供应商对项目的实施方案，内容包含但不限于①总体发展规划编制方案；②产业规划编制方案；③建设实施方案编制方案。 评审标准量化内容： 前述要求的内容均有描述且符合本项目要求的得15分；每缺少一项要求的方案内容扣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项目进度安排</w:t>
            </w:r>
          </w:p>
        </w:tc>
        <w:tc>
          <w:tcPr>
            <w:tcW w:type="dxa" w:w="2492"/>
          </w:tcPr>
          <w:p>
            <w:pPr>
              <w:pStyle w:val="null3"/>
            </w:pPr>
            <w:r>
              <w:rPr>
                <w:rFonts w:ascii="仿宋_GB2312" w:hAnsi="仿宋_GB2312" w:cs="仿宋_GB2312" w:eastAsia="仿宋_GB2312"/>
              </w:rPr>
              <w:t>区间分值：0-6分 评审标准细化内容: 供应商提供针对本项目的进度计划，内容包含但不限于①进度计划安排；②进度计划保证措施。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项目团队主要人员配置情况</w:t>
            </w:r>
          </w:p>
        </w:tc>
        <w:tc>
          <w:tcPr>
            <w:tcW w:type="dxa" w:w="2492"/>
          </w:tcPr>
          <w:p>
            <w:pPr>
              <w:pStyle w:val="null3"/>
            </w:pPr>
            <w:r>
              <w:rPr>
                <w:rFonts w:ascii="仿宋_GB2312" w:hAnsi="仿宋_GB2312" w:cs="仿宋_GB2312" w:eastAsia="仿宋_GB2312"/>
              </w:rPr>
              <w:t>1.项目负责人：同时具备城乡规划专业高级及以上工程师职称及注册城乡规划师执业资格证书的，得5分。 注：注：提供项目负责人相关证书复印件，开标日期前三个月内供应商为其缴纳的至少一个月的社保缴纳证明，不提供或提供不全不得分。 2.拟派项目团队人员（项目负责人除外）： 拟派项目团队人员中具备高级职称且同时具备国家注册城乡规划师资格的，每有一人得 3 分；具备高级职称或只具国家注册城乡规划师资格的，每有一人得 2 分；仅具备中级工程师职称的每有一人得 1 分；最高得 9 分。 注：须提供团队人员证书复印件及身份证复印件，否则不得分。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服务质量保障</w:t>
            </w:r>
          </w:p>
        </w:tc>
        <w:tc>
          <w:tcPr>
            <w:tcW w:type="dxa" w:w="2492"/>
          </w:tcPr>
          <w:p>
            <w:pPr>
              <w:pStyle w:val="null3"/>
            </w:pPr>
            <w:r>
              <w:rPr>
                <w:rFonts w:ascii="仿宋_GB2312" w:hAnsi="仿宋_GB2312" w:cs="仿宋_GB2312" w:eastAsia="仿宋_GB2312"/>
              </w:rPr>
              <w:t>区间分值：0-10分 评审标准细化内容： 供应商的质量保证方案，内容包括但不限于①质量管理体系；②质量保障措施。 评审标准量化内容： 前述要求的内容均有描述且符合本项目要求的得10分；每缺少一项要求的方案内容扣5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重点难点的理解与进度保障方案</w:t>
            </w:r>
          </w:p>
        </w:tc>
        <w:tc>
          <w:tcPr>
            <w:tcW w:type="dxa" w:w="2492"/>
          </w:tcPr>
          <w:p>
            <w:pPr>
              <w:pStyle w:val="null3"/>
            </w:pPr>
            <w:r>
              <w:rPr>
                <w:rFonts w:ascii="仿宋_GB2312" w:hAnsi="仿宋_GB2312" w:cs="仿宋_GB2312" w:eastAsia="仿宋_GB2312"/>
              </w:rPr>
              <w:t>区间分值：0-6分 评审标准细化内容： 供应商提供针对本项目的重难点分析及解决措施，内容包含但不限于①针对本项目的重难点分析；②针对重难点分析后的预防及解决措施。 评审标准量化内容： 前述要求的内容均有描述且符合本项目要求的得6分；每缺少一项要求的方案内容扣3分，扣完为止；每有一项要求的方案内容有一处错误的(错误是指：对同一问题前后表述矛盾的，或逻辑错误的，或缺少关键节点，或涉及的规范及标准错误，或表述内容不完整，或不利于项目实施、不可能实现的情形等任意一种情形)，一处扣0.5分，扣完为止；每有一项要求的方案内容有一处描述不切合项目实际的，一处扣1分，扣完为止。不提供方案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供应商提供2022年1月至今类似项目业绩合同（以合同签订时间为准）；一个业绩得2分，最高得10分；评审依据：提供合同复印件并加盖公章。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其他附件.docx</w:t>
            </w:r>
          </w:p>
        </w:tc>
      </w:tr>
      <w:tr>
        <w:tc>
          <w:tcPr>
            <w:tcW w:type="dxa" w:w="831"/>
            <w:vMerge/>
          </w:tcP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价格分统一采用低价优先法计算，即满足磋商文件要求且经政策性扣减后总价价格最低的为磋商基准价，其价格分为满分。其他供应商的价格分统一按照下列公式计算： 磋商报价得分=(磋商基准价／最终磋商报价)×价格权值×100计算分数时四舍五入取小数点后两位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其他附件.docx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详见附件：其他附件.docx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