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92E6E5">
      <w:pPr>
        <w:pStyle w:val="6"/>
        <w:spacing w:line="360" w:lineRule="auto"/>
        <w:rPr>
          <w:highlight w:val="none"/>
        </w:rPr>
      </w:pPr>
    </w:p>
    <w:p w14:paraId="35D1FE1A">
      <w:pPr>
        <w:pStyle w:val="6"/>
        <w:spacing w:line="360" w:lineRule="auto"/>
        <w:rPr>
          <w:highlight w:val="none"/>
        </w:rPr>
      </w:pPr>
    </w:p>
    <w:p w14:paraId="30493522">
      <w:pPr>
        <w:pStyle w:val="6"/>
        <w:spacing w:line="360" w:lineRule="auto"/>
        <w:rPr>
          <w:rFonts w:hint="default"/>
          <w:highlight w:val="none"/>
        </w:rPr>
      </w:pPr>
      <w:r>
        <w:rPr>
          <w:highlight w:val="none"/>
        </w:rPr>
        <w:t xml:space="preserve"> </w:t>
      </w:r>
    </w:p>
    <w:p w14:paraId="3EBBC67A">
      <w:pPr>
        <w:spacing w:line="360" w:lineRule="auto"/>
        <w:ind w:firstLine="803"/>
        <w:jc w:val="center"/>
        <w:rPr>
          <w:rFonts w:hint="eastAsia" w:eastAsiaTheme="minorEastAsia"/>
          <w:b/>
          <w:bCs/>
          <w:kern w:val="0"/>
          <w:sz w:val="40"/>
          <w:szCs w:val="40"/>
          <w:highlight w:val="none"/>
          <w:lang w:eastAsia="zh-CN"/>
        </w:rPr>
      </w:pPr>
      <w:r>
        <w:rPr>
          <w:rFonts w:hint="eastAsia"/>
          <w:b/>
          <w:bCs/>
          <w:kern w:val="0"/>
          <w:sz w:val="40"/>
          <w:szCs w:val="40"/>
          <w:highlight w:val="none"/>
          <w:lang w:eastAsia="zh-CN"/>
        </w:rPr>
        <w:t>未央工业园（包含六村堡片区和西航片区）总体发展规划、产业发展规划</w:t>
      </w:r>
    </w:p>
    <w:p w14:paraId="4B861BAA">
      <w:pPr>
        <w:spacing w:line="360" w:lineRule="auto"/>
        <w:ind w:firstLine="803"/>
        <w:jc w:val="center"/>
        <w:rPr>
          <w:b/>
          <w:bCs/>
          <w:kern w:val="0"/>
          <w:sz w:val="40"/>
          <w:szCs w:val="40"/>
          <w:highlight w:val="none"/>
          <w:lang w:eastAsia="zh-Hans"/>
        </w:rPr>
      </w:pPr>
      <w:r>
        <w:rPr>
          <w:rFonts w:hint="eastAsia"/>
          <w:b/>
          <w:bCs/>
          <w:kern w:val="0"/>
          <w:sz w:val="40"/>
          <w:szCs w:val="40"/>
          <w:highlight w:val="none"/>
          <w:lang w:eastAsia="zh-Hans"/>
        </w:rPr>
        <w:t>服 务 合 同</w:t>
      </w:r>
    </w:p>
    <w:p w14:paraId="431B8E8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460DD2C9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3DDF5048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7D661BD6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2B7E3DD1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6EFA68DE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16D9BF6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13B7E1D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2CCF2706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5FA01084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66600E03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</w:p>
    <w:p w14:paraId="71B43D27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  <w:r>
        <w:rPr>
          <w:rFonts w:hint="eastAsia"/>
          <w:b/>
          <w:bCs/>
          <w:kern w:val="0"/>
          <w:szCs w:val="21"/>
          <w:highlight w:val="none"/>
          <w:lang w:eastAsia="zh-Hans"/>
        </w:rPr>
        <w:t>（示范文本）</w:t>
      </w:r>
    </w:p>
    <w:p w14:paraId="06EAD99B">
      <w:pPr>
        <w:spacing w:line="360" w:lineRule="auto"/>
        <w:ind w:firstLine="402"/>
        <w:jc w:val="left"/>
        <w:rPr>
          <w:b/>
          <w:bCs/>
          <w:kern w:val="0"/>
          <w:szCs w:val="21"/>
          <w:highlight w:val="none"/>
          <w:lang w:eastAsia="zh-Hans"/>
        </w:rPr>
      </w:pPr>
    </w:p>
    <w:p w14:paraId="18A769F4">
      <w:pPr>
        <w:spacing w:line="360" w:lineRule="auto"/>
        <w:ind w:firstLine="402"/>
        <w:jc w:val="center"/>
        <w:rPr>
          <w:b/>
          <w:bCs/>
          <w:kern w:val="0"/>
          <w:szCs w:val="21"/>
          <w:highlight w:val="none"/>
          <w:lang w:eastAsia="zh-Hans"/>
        </w:rPr>
      </w:pPr>
      <w:r>
        <w:rPr>
          <w:rFonts w:hint="eastAsia"/>
          <w:b/>
          <w:bCs/>
          <w:kern w:val="0"/>
          <w:szCs w:val="21"/>
          <w:highlight w:val="none"/>
          <w:lang w:eastAsia="zh-Hans"/>
        </w:rPr>
        <w:t>成交供应商和采购人也可根据项目特点自行拟定合同条款。</w:t>
      </w:r>
    </w:p>
    <w:p w14:paraId="437A510A">
      <w:pPr>
        <w:spacing w:line="360" w:lineRule="auto"/>
        <w:ind w:firstLine="480"/>
        <w:jc w:val="center"/>
        <w:rPr>
          <w:rFonts w:hint="eastAsia" w:asciiTheme="minorEastAsia" w:hAnsiTheme="minorEastAsia" w:cstheme="minorEastAsia"/>
          <w:sz w:val="24"/>
          <w:szCs w:val="24"/>
          <w:highlight w:val="none"/>
        </w:rPr>
      </w:pPr>
    </w:p>
    <w:p w14:paraId="42F8BF86">
      <w:pPr>
        <w:spacing w:line="360" w:lineRule="auto"/>
        <w:ind w:firstLine="482"/>
        <w:rPr>
          <w:rFonts w:hint="eastAsia" w:asciiTheme="minorEastAsia" w:hAnsiTheme="minorEastAsia" w:cstheme="minorEastAsia"/>
          <w:b/>
          <w:sz w:val="24"/>
          <w:szCs w:val="24"/>
          <w:highlight w:val="none"/>
        </w:rPr>
      </w:pPr>
    </w:p>
    <w:p w14:paraId="41F4FF68">
      <w:pPr>
        <w:pStyle w:val="3"/>
        <w:spacing w:line="360" w:lineRule="auto"/>
        <w:ind w:firstLine="480"/>
        <w:rPr>
          <w:rFonts w:hint="eastAsia" w:asciiTheme="minorEastAsia" w:hAnsiTheme="minorEastAsia" w:cstheme="minorEastAsia"/>
          <w:sz w:val="24"/>
          <w:szCs w:val="24"/>
          <w:highlight w:val="none"/>
        </w:rPr>
      </w:pPr>
    </w:p>
    <w:p w14:paraId="382F4FBF">
      <w:pPr>
        <w:spacing w:before="156" w:beforeLines="50" w:line="360" w:lineRule="auto"/>
        <w:ind w:firstLine="482"/>
        <w:jc w:val="center"/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</w:rPr>
      </w:pPr>
      <w:r>
        <w:rPr>
          <w:rFonts w:hint="eastAsia" w:asciiTheme="minorEastAsia" w:hAnsiTheme="minorEastAsia" w:cstheme="minorEastAsia"/>
          <w:b/>
          <w:bCs/>
          <w:sz w:val="24"/>
          <w:szCs w:val="24"/>
          <w:highlight w:val="none"/>
        </w:rPr>
        <w:br w:type="page"/>
      </w:r>
      <w:r>
        <w:rPr>
          <w:rFonts w:hint="eastAsia"/>
          <w:b/>
          <w:bCs/>
          <w:kern w:val="0"/>
          <w:szCs w:val="21"/>
          <w:highlight w:val="none"/>
          <w:lang w:eastAsia="zh-Hans"/>
        </w:rPr>
        <w:t>第一部分  协议书</w:t>
      </w:r>
    </w:p>
    <w:p w14:paraId="4B08835B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采购人（全称）：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CN"/>
        </w:rPr>
        <w:t>西安未央工业园管理委员会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</w:t>
      </w:r>
      <w:r>
        <w:rPr>
          <w:rFonts w:hint="eastAsia"/>
          <w:kern w:val="0"/>
          <w:sz w:val="20"/>
          <w:szCs w:val="20"/>
          <w:highlight w:val="none"/>
        </w:rPr>
        <w:t xml:space="preserve">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</w:t>
      </w:r>
    </w:p>
    <w:p w14:paraId="079B423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供应商（全称）：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   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</w:t>
      </w:r>
    </w:p>
    <w:p w14:paraId="3AD7AE69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依照《中华人民共和国民法典》及其他有关法律、法规，遵循平等、自愿、公平和诚信的原则，双方就下述项目范围与相关服务事项协商一致，订立本合同。</w:t>
      </w:r>
    </w:p>
    <w:p w14:paraId="063DE7BC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一、项目概况</w:t>
      </w:r>
    </w:p>
    <w:p w14:paraId="66B0579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1.项目名称：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CN"/>
        </w:rPr>
        <w:t>未央工业园（包含六村堡片区和西航片区）总体发展规划、产业发展规划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</w:t>
      </w:r>
    </w:p>
    <w:p w14:paraId="621298E7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2.项目地点：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CN"/>
        </w:rPr>
        <w:t>西安未央工业园管理委员会</w:t>
      </w:r>
      <w:r>
        <w:rPr>
          <w:rFonts w:hint="eastAsia"/>
          <w:kern w:val="0"/>
          <w:sz w:val="20"/>
          <w:szCs w:val="20"/>
          <w:highlight w:val="none"/>
          <w:u w:val="single"/>
        </w:rPr>
        <w:t>指定地点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                    </w:t>
      </w:r>
    </w:p>
    <w:p w14:paraId="4059D6FD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3.项目内容：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</w:t>
      </w:r>
      <w:r>
        <w:rPr>
          <w:rFonts w:hint="eastAsia"/>
          <w:kern w:val="0"/>
          <w:sz w:val="20"/>
          <w:szCs w:val="20"/>
          <w:highlight w:val="none"/>
          <w:u w:val="single"/>
        </w:rPr>
        <w:t xml:space="preserve">            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</w:t>
      </w:r>
      <w:r>
        <w:rPr>
          <w:rFonts w:hint="eastAsia"/>
          <w:kern w:val="0"/>
          <w:sz w:val="20"/>
          <w:szCs w:val="20"/>
          <w:highlight w:val="none"/>
        </w:rPr>
        <w:t xml:space="preserve">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                     </w:t>
      </w:r>
    </w:p>
    <w:p w14:paraId="62D420B1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二、组成本合同的文件</w:t>
      </w:r>
    </w:p>
    <w:p w14:paraId="2719AFB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1. 协议书；</w:t>
      </w:r>
    </w:p>
    <w:p w14:paraId="4BAA995A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 成交通知书、磋商响应文件、磋商文件、澄清、磋商补充文件（或委托书）；</w:t>
      </w:r>
    </w:p>
    <w:p w14:paraId="70ABF035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本合同签订后，双方依法签订的补充协议也是本合同文件的组成部分。</w:t>
      </w:r>
    </w:p>
    <w:p w14:paraId="48D1CBCB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三、合同价款</w:t>
      </w:r>
    </w:p>
    <w:p w14:paraId="49CAE186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1.合同金额（大写）：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（</w:t>
      </w:r>
      <w:r>
        <w:rPr>
          <w:rFonts w:hint="default" w:ascii="Arial" w:hAnsi="Arial" w:cs="Arial"/>
          <w:kern w:val="0"/>
          <w:sz w:val="20"/>
          <w:szCs w:val="20"/>
          <w:highlight w:val="none"/>
          <w:lang w:eastAsia="zh-Hans"/>
        </w:rPr>
        <w:t>¥</w:t>
      </w:r>
      <w:bookmarkStart w:id="0" w:name="_GoBack"/>
      <w:bookmarkEnd w:id="0"/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                   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）。</w:t>
      </w:r>
    </w:p>
    <w:p w14:paraId="759439F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2.合同总价即中标价，不受市场价变化或实际工作量变化的影响。</w:t>
      </w:r>
    </w:p>
    <w:p w14:paraId="03B7261A">
      <w:pPr>
        <w:adjustRightInd w:val="0"/>
        <w:snapToGrid w:val="0"/>
        <w:spacing w:line="360" w:lineRule="auto"/>
        <w:ind w:firstLine="402" w:firstLineChars="200"/>
        <w:jc w:val="left"/>
        <w:rPr>
          <w:kern w:val="0"/>
          <w:sz w:val="20"/>
          <w:szCs w:val="20"/>
          <w:highlight w:val="none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四、项目实施地点</w:t>
      </w:r>
      <w:r>
        <w:rPr>
          <w:rFonts w:hint="eastAsia"/>
          <w:b/>
          <w:bCs/>
          <w:kern w:val="0"/>
          <w:sz w:val="20"/>
          <w:szCs w:val="20"/>
          <w:highlight w:val="none"/>
        </w:rPr>
        <w:t>：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采购人指定地点</w:t>
      </w:r>
    </w:p>
    <w:p w14:paraId="432EB9FC">
      <w:pPr>
        <w:spacing w:line="360" w:lineRule="auto"/>
        <w:ind w:firstLine="402" w:firstLineChars="200"/>
        <w:rPr>
          <w:b w:val="0"/>
          <w:bCs w:val="0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五、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服务</w:t>
      </w:r>
      <w:r>
        <w:rPr>
          <w:rFonts w:hint="eastAsia"/>
          <w:b/>
          <w:bCs/>
          <w:kern w:val="0"/>
          <w:sz w:val="20"/>
          <w:szCs w:val="20"/>
          <w:highlight w:val="none"/>
        </w:rPr>
        <w:t>期限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：</w:t>
      </w:r>
      <w:r>
        <w:rPr>
          <w:rFonts w:hint="eastAsia"/>
          <w:b w:val="0"/>
          <w:bCs w:val="0"/>
          <w:kern w:val="0"/>
          <w:sz w:val="20"/>
          <w:szCs w:val="20"/>
          <w:highlight w:val="none"/>
          <w:lang w:eastAsia="zh-Hans"/>
        </w:rPr>
        <w:t>合同签订后 90 日历天。</w:t>
      </w:r>
    </w:p>
    <w:p w14:paraId="30FAC6EB">
      <w:pPr>
        <w:adjustRightInd w:val="0"/>
        <w:snapToGrid w:val="0"/>
        <w:spacing w:line="360" w:lineRule="auto"/>
        <w:ind w:firstLine="422" w:firstLineChars="200"/>
        <w:jc w:val="left"/>
        <w:rPr>
          <w:b/>
          <w:bCs/>
          <w:highlight w:val="none"/>
        </w:rPr>
      </w:pPr>
      <w:r>
        <w:rPr>
          <w:b/>
          <w:bCs/>
          <w:highlight w:val="none"/>
        </w:rPr>
        <w:t>六、付款方式：</w:t>
      </w:r>
    </w:p>
    <w:p w14:paraId="69E9A9A1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付款条件说明：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合同签订后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达到付款条件起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 w:bidi="ar-SA"/>
        </w:rPr>
        <w:t>30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日内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支付合同总金额的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 w:bidi="ar-SA"/>
        </w:rPr>
        <w:t>4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0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.00%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。</w:t>
      </w:r>
    </w:p>
    <w:p w14:paraId="0F6EE0AC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付款条件说明：</w:t>
      </w:r>
      <w:r>
        <w:rPr>
          <w:rFonts w:hint="eastAsia"/>
          <w:b w:val="0"/>
          <w:bCs w:val="0"/>
          <w:highlight w:val="none"/>
        </w:rPr>
        <w:t>规划设计方案经相关</w:t>
      </w:r>
      <w:r>
        <w:rPr>
          <w:rFonts w:hint="eastAsia"/>
          <w:b w:val="0"/>
          <w:bCs w:val="0"/>
          <w:highlight w:val="none"/>
          <w:lang w:val="en-US" w:eastAsia="zh-CN"/>
        </w:rPr>
        <w:t>会议审议通过后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达到付款条件起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 w:bidi="ar-SA"/>
        </w:rPr>
        <w:t>30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日内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支付合同总金额的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 w:bidi="ar-SA"/>
        </w:rPr>
        <w:t>40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.00%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。</w:t>
      </w:r>
    </w:p>
    <w:p w14:paraId="60261528">
      <w:pPr>
        <w:pStyle w:val="6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00" w:firstLineChars="200"/>
        <w:textAlignment w:val="auto"/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付款条件说明：乙方向甲方提交技术成果当日，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达到付款条件起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 w:bidi="ar-SA"/>
        </w:rPr>
        <w:t>30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日内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，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 xml:space="preserve">支付合同总金额的 </w:t>
      </w:r>
      <w:r>
        <w:rPr>
          <w:rFonts w:hint="eastAsia" w:cstheme="minorBidi"/>
          <w:kern w:val="0"/>
          <w:sz w:val="20"/>
          <w:szCs w:val="20"/>
          <w:highlight w:val="none"/>
          <w:lang w:val="en-US" w:eastAsia="zh-CN" w:bidi="ar-SA"/>
        </w:rPr>
        <w:t>2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0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Hans" w:bidi="ar-SA"/>
        </w:rPr>
        <w:t>.00%</w:t>
      </w:r>
      <w:r>
        <w:rPr>
          <w:rFonts w:hint="eastAsia" w:asciiTheme="minorHAnsi" w:hAnsiTheme="minorHAnsi" w:eastAsiaTheme="minorEastAsia" w:cstheme="minorBidi"/>
          <w:kern w:val="0"/>
          <w:sz w:val="20"/>
          <w:szCs w:val="20"/>
          <w:highlight w:val="none"/>
          <w:lang w:val="en-US" w:eastAsia="zh-CN" w:bidi="ar-SA"/>
        </w:rPr>
        <w:t>。</w:t>
      </w:r>
    </w:p>
    <w:p w14:paraId="46E0A923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七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、项目团队要求：</w:t>
      </w:r>
    </w:p>
    <w:p w14:paraId="023D7D7E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.若因不可抗力因素，成交供应商确需更换项目负责人，新更换的项目负责人须与磋商时所承诺的专业、资格等级、技术职称等内容一致或高于原资格条件；同时，要求至少提前7个工作日以书面形式通知采购人，并将拟更换的人员个人资料一并上报，经采购人审核同意后，方可更换。</w:t>
      </w:r>
    </w:p>
    <w:p w14:paraId="6D8901CF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2.签订合同之前，成交供应商须提供项目组人员一览表，与磋商响应文件的人员一览表进行比对，人员变更须征得采购人同意。</w:t>
      </w:r>
    </w:p>
    <w:p w14:paraId="1E8BC2DE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八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、质量保证：</w:t>
      </w:r>
    </w:p>
    <w:p w14:paraId="008A36D8">
      <w:pPr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1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在服务范围内按工作内容和要求制定详细的方案，方案科学、合理、可靠。</w:t>
      </w:r>
    </w:p>
    <w:p w14:paraId="114B77A8">
      <w:pPr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2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人员配备合理。有针对本项目的专项服务小组，项目负责人、工作人员分工明确（应有具体成员名单，包括姓名、工作职责、联系方式等）</w:t>
      </w:r>
    </w:p>
    <w:p w14:paraId="7A1603D9">
      <w:pPr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3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有各类突发事件的应急预案和措施，有明确具体的承诺。</w:t>
      </w:r>
    </w:p>
    <w:p w14:paraId="32C17E60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4</w:t>
      </w:r>
      <w:r>
        <w:rPr>
          <w:rFonts w:hint="eastAsia"/>
          <w:kern w:val="0"/>
          <w:sz w:val="20"/>
          <w:szCs w:val="20"/>
          <w:highlight w:val="none"/>
        </w:rPr>
        <w:t>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供应商所拟派的工作人员，若在服务期间发生任何伤害，采购人概不负责，由</w:t>
      </w:r>
      <w:r>
        <w:rPr>
          <w:rFonts w:hint="eastAsia"/>
          <w:kern w:val="0"/>
          <w:sz w:val="20"/>
          <w:szCs w:val="20"/>
          <w:highlight w:val="none"/>
        </w:rPr>
        <w:t>供应商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自行处理。</w:t>
      </w:r>
    </w:p>
    <w:p w14:paraId="0842B0F3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九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、违约责任：</w:t>
      </w:r>
    </w:p>
    <w:p w14:paraId="7B8B4304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.1在合同履行期间，甲方要求终止或解除合同，乙方未开始工作的，退还甲方已付的定金。</w:t>
      </w:r>
    </w:p>
    <w:p w14:paraId="62F7AB34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</w:t>
      </w: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2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因乙方责任造成工作重大返工或重作的，乙方不得另行收费。</w:t>
      </w:r>
    </w:p>
    <w:p w14:paraId="580F3836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</w:t>
      </w: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3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乙方由于自身过错，延误按本合同规定的规划设计成果交付时间，每延误一天，应减收当期应收费用的2‰作为延误违约金，延误违约金上限为当期应收费用的10%。</w:t>
      </w:r>
    </w:p>
    <w:p w14:paraId="5C5F5D93">
      <w:pPr>
        <w:adjustRightInd w:val="0"/>
        <w:snapToGrid w:val="0"/>
        <w:spacing w:line="360" w:lineRule="auto"/>
        <w:ind w:firstLine="400" w:firstLineChars="200"/>
        <w:jc w:val="left"/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9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.</w:t>
      </w:r>
      <w:r>
        <w:rPr>
          <w:rFonts w:hint="eastAsia"/>
          <w:color w:val="auto"/>
          <w:kern w:val="0"/>
          <w:sz w:val="20"/>
          <w:szCs w:val="20"/>
          <w:highlight w:val="none"/>
          <w:lang w:val="en-US" w:eastAsia="zh-CN"/>
        </w:rPr>
        <w:t>4</w:t>
      </w:r>
      <w:r>
        <w:rPr>
          <w:rFonts w:hint="eastAsia"/>
          <w:color w:val="auto"/>
          <w:kern w:val="0"/>
          <w:sz w:val="20"/>
          <w:szCs w:val="20"/>
          <w:highlight w:val="none"/>
          <w:lang w:eastAsia="zh-Hans"/>
        </w:rPr>
        <w:t>合同生效后，非因甲方原因且无任何其他合理理由乙方要求终止或解除合同的，乙方应退回所有已收款项。</w:t>
      </w:r>
    </w:p>
    <w:p w14:paraId="7F06EEBC">
      <w:pPr>
        <w:adjustRightInd w:val="0"/>
        <w:snapToGrid w:val="0"/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十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、保密条款</w:t>
      </w:r>
    </w:p>
    <w:p w14:paraId="2BFAC561">
      <w:pPr>
        <w:adjustRightInd w:val="0"/>
        <w:snapToGrid w:val="0"/>
        <w:spacing w:line="360" w:lineRule="auto"/>
        <w:ind w:firstLine="400" w:firstLineChars="200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成交服务商应严格遵守采购单位有关保密规定，不得泄漏一切机密；在技术服务期间，成交服务商对接触到的有关采购单位商业活动、技术情报和技术资料等文件进行保密。</w:t>
      </w:r>
    </w:p>
    <w:p w14:paraId="4419B437">
      <w:pPr>
        <w:adjustRightInd w:val="0"/>
        <w:snapToGrid w:val="0"/>
        <w:spacing w:line="360" w:lineRule="auto"/>
        <w:ind w:firstLine="402" w:firstLineChars="200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十</w:t>
      </w:r>
      <w:r>
        <w:rPr>
          <w:rFonts w:hint="eastAsia"/>
          <w:b/>
          <w:bCs/>
          <w:kern w:val="0"/>
          <w:sz w:val="20"/>
          <w:szCs w:val="20"/>
          <w:highlight w:val="none"/>
        </w:rPr>
        <w:t>一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、合同争议的解决</w:t>
      </w:r>
    </w:p>
    <w:p w14:paraId="38FA01E7">
      <w:pPr>
        <w:adjustRightInd w:val="0"/>
        <w:snapToGrid w:val="0"/>
        <w:spacing w:line="360" w:lineRule="auto"/>
        <w:ind w:firstLine="400" w:firstLineChars="2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因违反或终止合同而引起的对对方损失和损害的赔偿，双方应当协商解决，如未能达成一致，可提交主管部门协调，如仍未能达成一致时，向采购人所在地人民法院起诉。</w:t>
      </w:r>
    </w:p>
    <w:p w14:paraId="2FD793C1">
      <w:pPr>
        <w:spacing w:line="360" w:lineRule="auto"/>
        <w:ind w:firstLine="402" w:firstLineChars="200"/>
        <w:jc w:val="left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</w:rPr>
        <w:t>十二、</w:t>
      </w: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不可抗力情况下的免责约定</w:t>
      </w:r>
    </w:p>
    <w:p w14:paraId="1A32F18B">
      <w:pPr>
        <w:spacing w:line="360" w:lineRule="auto"/>
        <w:jc w:val="left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双方约定不可抗力情况指：双方不可预见、不可避免、不可克服的客观情况，但不包括双方的违约或疏忽。这些事件包括但不限于：战争、严重火灾、洪水、台风、地震等。</w:t>
      </w:r>
    </w:p>
    <w:p w14:paraId="2D3E9A97">
      <w:pPr>
        <w:spacing w:line="360" w:lineRule="auto"/>
        <w:ind w:firstLine="402" w:firstLineChars="200"/>
        <w:rPr>
          <w:b/>
          <w:bCs/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b/>
          <w:bCs/>
          <w:kern w:val="0"/>
          <w:sz w:val="20"/>
          <w:szCs w:val="20"/>
          <w:highlight w:val="none"/>
          <w:lang w:eastAsia="zh-Hans"/>
        </w:rPr>
        <w:t>十三、合同订立</w:t>
      </w:r>
    </w:p>
    <w:p w14:paraId="60E69BD3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</w:rPr>
        <w:t>1.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本合同一式 </w:t>
      </w:r>
      <w:r>
        <w:rPr>
          <w:rFonts w:hint="eastAsia"/>
          <w:kern w:val="0"/>
          <w:sz w:val="20"/>
          <w:szCs w:val="20"/>
          <w:highlight w:val="none"/>
          <w:u w:val="single"/>
        </w:rPr>
        <w:t>肆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份，具有同等法律效力，双方各执</w:t>
      </w:r>
      <w:r>
        <w:rPr>
          <w:rFonts w:hint="eastAsia"/>
          <w:kern w:val="0"/>
          <w:sz w:val="20"/>
          <w:szCs w:val="20"/>
          <w:highlight w:val="none"/>
          <w:u w:val="single"/>
          <w:lang w:eastAsia="zh-Hans"/>
        </w:rPr>
        <w:t xml:space="preserve"> 贰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份。各方签字盖章后生效，合同执行完毕自动失效。（合同的服务承诺则长期有效）。</w:t>
      </w:r>
    </w:p>
    <w:p w14:paraId="71B15C08">
      <w:pPr>
        <w:tabs>
          <w:tab w:val="left" w:pos="980"/>
        </w:tabs>
        <w:kinsoku w:val="0"/>
        <w:spacing w:line="360" w:lineRule="auto"/>
        <w:ind w:firstLine="400" w:firstLineChars="2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</w:rPr>
        <w:t>2</w:t>
      </w:r>
      <w:r>
        <w:rPr>
          <w:rFonts w:hint="eastAsia"/>
          <w:kern w:val="0"/>
          <w:sz w:val="20"/>
          <w:szCs w:val="20"/>
          <w:highlight w:val="none"/>
          <w:lang w:eastAsia="zh-Hans"/>
        </w:rPr>
        <w:t>.未尽事宜由双方在签订合同时具体明确或签订补充合同。</w:t>
      </w:r>
    </w:p>
    <w:p w14:paraId="5F06F9D9">
      <w:pPr>
        <w:tabs>
          <w:tab w:val="left" w:pos="480"/>
        </w:tabs>
        <w:spacing w:line="360" w:lineRule="auto"/>
        <w:ind w:firstLine="1800" w:firstLineChars="900"/>
        <w:rPr>
          <w:kern w:val="0"/>
          <w:sz w:val="20"/>
          <w:szCs w:val="20"/>
          <w:highlight w:val="none"/>
          <w:lang w:eastAsia="zh-Hans"/>
        </w:rPr>
      </w:pPr>
    </w:p>
    <w:p w14:paraId="07B55ECB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甲  方（公章）                   乙  方（公章）            </w:t>
      </w:r>
    </w:p>
    <w:p w14:paraId="1D18AF91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>单位名称：                       单位名称：</w:t>
      </w:r>
    </w:p>
    <w:p w14:paraId="664AC605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地    址：                       地    址：                </w:t>
      </w:r>
    </w:p>
    <w:p w14:paraId="06295411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代 理 人：                       代 理 人：                </w:t>
      </w:r>
    </w:p>
    <w:p w14:paraId="25DE3C97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联系电话：                       联系电话：              </w:t>
      </w:r>
    </w:p>
    <w:p w14:paraId="1A4A03B3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帐    号：</w:t>
      </w:r>
    </w:p>
    <w:p w14:paraId="788A11E4">
      <w:pPr>
        <w:tabs>
          <w:tab w:val="left" w:pos="480"/>
        </w:tabs>
        <w:spacing w:line="360" w:lineRule="auto"/>
        <w:ind w:firstLine="800" w:firstLineChars="400"/>
        <w:rPr>
          <w:kern w:val="0"/>
          <w:sz w:val="20"/>
          <w:szCs w:val="20"/>
          <w:highlight w:val="none"/>
          <w:lang w:eastAsia="zh-Hans"/>
        </w:rPr>
      </w:pPr>
      <w:r>
        <w:rPr>
          <w:rFonts w:hint="eastAsia"/>
          <w:kern w:val="0"/>
          <w:sz w:val="20"/>
          <w:szCs w:val="20"/>
          <w:highlight w:val="none"/>
          <w:lang w:eastAsia="zh-Hans"/>
        </w:rPr>
        <w:t xml:space="preserve">                                 开户银行： </w:t>
      </w:r>
    </w:p>
    <w:p w14:paraId="1C70AA65">
      <w:pPr>
        <w:pStyle w:val="6"/>
        <w:spacing w:line="360" w:lineRule="auto"/>
        <w:ind w:firstLine="800" w:firstLineChars="400"/>
        <w:rPr>
          <w:rFonts w:hint="default"/>
          <w:highlight w:val="none"/>
        </w:rPr>
      </w:pPr>
      <w:r>
        <w:rPr>
          <w:highlight w:val="none"/>
        </w:rPr>
        <w:t xml:space="preserve">签订日期：                  </w:t>
      </w:r>
      <w:r>
        <w:rPr>
          <w:highlight w:val="none"/>
          <w:lang w:eastAsia="zh-CN"/>
        </w:rPr>
        <w:t xml:space="preserve">  </w:t>
      </w:r>
      <w:r>
        <w:rPr>
          <w:highlight w:val="none"/>
        </w:rPr>
        <w:t xml:space="preserve">   签订日期：    </w:t>
      </w:r>
    </w:p>
    <w:p w14:paraId="7150B134">
      <w:pPr>
        <w:pStyle w:val="6"/>
        <w:spacing w:line="360" w:lineRule="auto"/>
        <w:rPr>
          <w:rFonts w:hint="default"/>
          <w:highlight w:val="none"/>
        </w:rPr>
      </w:pPr>
    </w:p>
    <w:p w14:paraId="023542BD">
      <w:pPr>
        <w:pStyle w:val="6"/>
        <w:spacing w:line="360" w:lineRule="auto"/>
        <w:rPr>
          <w:rFonts w:hint="default"/>
          <w:highlight w:val="none"/>
        </w:rPr>
      </w:pPr>
    </w:p>
    <w:p w14:paraId="572FBA42">
      <w:pPr>
        <w:pStyle w:val="6"/>
        <w:spacing w:line="360" w:lineRule="auto"/>
        <w:rPr>
          <w:rFonts w:hint="default"/>
          <w:highlight w:val="none"/>
        </w:rPr>
      </w:pPr>
      <w:r>
        <w:rPr>
          <w:highlight w:val="none"/>
        </w:rPr>
        <w:t xml:space="preserve"> </w:t>
      </w:r>
    </w:p>
    <w:p w14:paraId="43A62B68">
      <w:pPr>
        <w:pStyle w:val="6"/>
        <w:spacing w:line="360" w:lineRule="auto"/>
        <w:rPr>
          <w:rFonts w:hint="default"/>
          <w:highlight w:val="none"/>
        </w:rPr>
      </w:pPr>
    </w:p>
    <w:p w14:paraId="6E056F6F"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C3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nhideWhenUsed/>
    <w:qFormat/>
    <w:uiPriority w:val="99"/>
    <w:pPr>
      <w:ind w:firstLine="420" w:firstLineChars="200"/>
    </w:pPr>
  </w:style>
  <w:style w:type="paragraph" w:customStyle="1" w:styleId="6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2025-08-04T09:00:48Z</dcterms:created>
  <dc:creator>Administrator</dc:creator>
  <cp:lastModifiedBy>WPS_1544074700</cp:lastModifiedBy>
  <dcterms:modified xsi:type="dcterms:W3CDTF">2025-08-04T09:02:24Z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eyJoZGlkIjoiYjg5MDkzNGM5OGYwM2Y3MDQwYTAxYzUwMzNjYzlhZDMiLCJ1c2VySWQiOiI0Mzk3ODY0MTQifQ==</vt:lpwstr>
  </property>
  <property fmtid="{D5CDD505-2E9C-101B-9397-08002B2CF9AE}" pid="4" name="ICV">
    <vt:lpwstr>85D1F7C9B87F4D83B5383F9EC3F93450_12</vt:lpwstr>
  </property>
</Properties>
</file>