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版本号：ZJCG2025-07-0120250912001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未央区2025年农村公路日常养护项目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ZJCG2025-07-01</w:t>
      </w:r>
      <w:r>
        <w:br/>
      </w:r>
      <w:r>
        <w:br/>
      </w:r>
      <w:r>
        <w:br/>
      </w:r>
    </w:p>
    <w:p>
      <w:pPr>
        <w:pStyle w:val="null3"/>
        <w:jc w:val="center"/>
        <w:outlineLvl w:val="2"/>
      </w:pPr>
      <w:r>
        <w:rPr>
          <w:rFonts w:ascii="仿宋_GB2312" w:hAnsi="仿宋_GB2312" w:cs="仿宋_GB2312" w:eastAsia="仿宋_GB2312"/>
          <w:sz w:val="28"/>
          <w:b/>
        </w:rPr>
        <w:t>西安市未央区公路管理站</w:t>
      </w:r>
    </w:p>
    <w:p>
      <w:pPr>
        <w:pStyle w:val="null3"/>
        <w:jc w:val="center"/>
        <w:outlineLvl w:val="2"/>
      </w:pPr>
      <w:r>
        <w:rPr>
          <w:rFonts w:ascii="仿宋_GB2312" w:hAnsi="仿宋_GB2312" w:cs="仿宋_GB2312" w:eastAsia="仿宋_GB2312"/>
          <w:sz w:val="28"/>
          <w:b/>
        </w:rPr>
        <w:t>陕西贞吉建设项目管理有限公司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陕西贞吉建设项目管理有限公司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西安市未央区公路管理站</w:t>
      </w:r>
      <w:r>
        <w:rPr>
          <w:rFonts w:ascii="仿宋_GB2312" w:hAnsi="仿宋_GB2312" w:cs="仿宋_GB2312" w:eastAsia="仿宋_GB2312"/>
        </w:rPr>
        <w:t>委托，拟对</w:t>
      </w:r>
      <w:r>
        <w:rPr>
          <w:rFonts w:ascii="仿宋_GB2312" w:hAnsi="仿宋_GB2312" w:cs="仿宋_GB2312" w:eastAsia="仿宋_GB2312"/>
        </w:rPr>
        <w:t>未央区2025年农村公路日常养护项目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ZJCG2025-07-01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未央区2025年农村公路日常养护项目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未央区2025年农村公路日常养护项目，县道养护路段共24.732公里、乡道养护路段共10.974公里、村道养护路段共40.161公里（村道主要用于技术指导和巡查费用）。主要内容包含：1、路面病害的修补，保证道路畅通；2、路基：路肩、绿化带修整等；3、防汛、防雪等灾害天气应急任务；4、管道清淤、窨井盖维修等日常工作；4、安保设施的维护；5、桥梁、两个泵站的日常维护；6、按要求完成上级安排的临时性应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2、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特定资格要求：供应商须具备交通运输主管部门颁发的公路养护工程施工三类及以上资质或具备公路养护作业（路基路面养护乙级及以上资质及交通安全设施养护资质）资质或住建部门颁发的市政公用工程施工总承包三级及以上资质，并具有合法有效的安全生产许可证：供应商须具备交通运输主管部门颁发的公路养护工程施工三类及以上资质或具备公路养护作业（路基路面养护乙级及以上资质及交通安全设施养护资质）资质或住建部门颁发的市政公用工程施工总承包三级及以上资质，并具有合法有效的安全生产许可证，合法有效</w:t>
      </w:r>
    </w:p>
    <w:p>
      <w:pPr>
        <w:pStyle w:val="null3"/>
      </w:pPr>
      <w:r>
        <w:rPr>
          <w:rFonts w:ascii="仿宋_GB2312" w:hAnsi="仿宋_GB2312" w:cs="仿宋_GB2312" w:eastAsia="仿宋_GB2312"/>
        </w:rPr>
        <w:t>4、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7、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8、是否接受联合体投标：本项目不接受联合体投标，供应商需在项目电子化交易系统中按要求上传相应证明文件并进行电子签章。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9、有效的主体资格证明：具有独立承担民事责任能力的法人、其他组织或自然人，并出具合法有效的相关证明材料。供应商需在项目电子化交易系统中按要求上传相应证明文件并进行电子签章。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西安市未央区方新路西段18号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西安市未央区公路管理站经办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13572903376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陕西贞吉建设项目管理有限公司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西安市经济技术开发区赛高国际D座6层603室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陈洪雅、姜培栋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029-86679931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采购包1：963,300.00元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由中标人支付，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有关规定，向招标代理机构一次支付招标代理服务费，招标代理费用不足捌仟元（￥：8000元）时按捌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西安市未央区公路管理站</w:t>
      </w:r>
      <w:r>
        <w:rPr>
          <w:rFonts w:ascii="仿宋_GB2312" w:hAnsi="仿宋_GB2312" w:cs="仿宋_GB2312" w:eastAsia="仿宋_GB2312"/>
        </w:rPr>
        <w:t>和</w:t>
      </w:r>
      <w:r>
        <w:rPr>
          <w:rFonts w:ascii="仿宋_GB2312" w:hAnsi="仿宋_GB2312" w:cs="仿宋_GB2312" w:eastAsia="仿宋_GB2312"/>
        </w:rPr>
        <w:t>陕西贞吉建设项目管理有限公司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陕西贞吉建设项目管理有限公司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陕西贞吉建设项目管理有限公司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陕西贞吉建设项目管理有限公司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陕西贞吉建设项目管理有限公司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陕西贞吉建设项目管理有限公司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联系人：陈洪雅 / 姜培栋</w:t>
      </w:r>
    </w:p>
    <w:p>
      <w:pPr>
        <w:pStyle w:val="null3"/>
      </w:pPr>
      <w:r>
        <w:rPr>
          <w:rFonts w:ascii="仿宋_GB2312" w:hAnsi="仿宋_GB2312" w:cs="仿宋_GB2312" w:eastAsia="仿宋_GB2312"/>
        </w:rPr>
        <w:t>联系电话：029-86679931</w:t>
      </w:r>
    </w:p>
    <w:p>
      <w:pPr>
        <w:pStyle w:val="null3"/>
      </w:pPr>
      <w:r>
        <w:rPr>
          <w:rFonts w:ascii="仿宋_GB2312" w:hAnsi="仿宋_GB2312" w:cs="仿宋_GB2312" w:eastAsia="仿宋_GB2312"/>
        </w:rPr>
        <w:t>地址：西安市经济技术开发区赛高国际D座6层603室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未央区2025年农村公路日常养护项目，县道养护路段共24.732公里、乡道养护路段共10.974公里、村道养护路段共40.161公里（村道主要用于技术指导和巡查费用）。主要内容包含：1、路面病害的修补，保证道路畅通；2、路基：路肩、绿化带修整等；3、防汛、防雪等灾害天气应急任务；4、管道清淤、窨井盖维修等日常工作；4、安保设施的维护；5、桥梁、两个泵站的日常维护；6、按要求完成上级安排的临时性应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963,300.00</w:t>
      </w:r>
    </w:p>
    <w:p>
      <w:pPr>
        <w:pStyle w:val="null3"/>
      </w:pPr>
      <w:r>
        <w:rPr>
          <w:rFonts w:ascii="仿宋_GB2312" w:hAnsi="仿宋_GB2312" w:cs="仿宋_GB2312" w:eastAsia="仿宋_GB2312"/>
        </w:rPr>
        <w:t>采购包最高限价（元）: 963,300.00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未央区2025年农村公路日常养护项目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963,300.00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标的名称：未央区2025年农村公路日常养护项目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项目概况及总体要求</w:t>
            </w:r>
          </w:p>
          <w:p>
            <w:pPr>
              <w:pStyle w:val="null3"/>
              <w:jc w:val="both"/>
            </w:pPr>
            <w:r>
              <w:rPr>
                <w:rFonts w:ascii="仿宋_GB2312" w:hAnsi="仿宋_GB2312" w:cs="仿宋_GB2312" w:eastAsia="仿宋_GB2312"/>
                <w:sz w:val="21"/>
              </w:rPr>
              <w:t>未央区</w:t>
            </w:r>
            <w:r>
              <w:rPr>
                <w:rFonts w:ascii="仿宋_GB2312" w:hAnsi="仿宋_GB2312" w:cs="仿宋_GB2312" w:eastAsia="仿宋_GB2312"/>
                <w:sz w:val="21"/>
              </w:rPr>
              <w:t>2025</w:t>
            </w:r>
            <w:r>
              <w:rPr>
                <w:rFonts w:ascii="仿宋_GB2312" w:hAnsi="仿宋_GB2312" w:cs="仿宋_GB2312" w:eastAsia="仿宋_GB2312"/>
                <w:sz w:val="21"/>
              </w:rPr>
              <w:t>年农村公路日常养护项目，县道养护路段共</w:t>
            </w:r>
            <w:r>
              <w:rPr>
                <w:rFonts w:ascii="仿宋_GB2312" w:hAnsi="仿宋_GB2312" w:cs="仿宋_GB2312" w:eastAsia="仿宋_GB2312"/>
                <w:sz w:val="21"/>
              </w:rPr>
              <w:t>24.732</w:t>
            </w:r>
            <w:r>
              <w:rPr>
                <w:rFonts w:ascii="仿宋_GB2312" w:hAnsi="仿宋_GB2312" w:cs="仿宋_GB2312" w:eastAsia="仿宋_GB2312"/>
                <w:sz w:val="21"/>
              </w:rPr>
              <w:t>公里、乡道养护路段共</w:t>
            </w:r>
            <w:r>
              <w:rPr>
                <w:rFonts w:ascii="仿宋_GB2312" w:hAnsi="仿宋_GB2312" w:cs="仿宋_GB2312" w:eastAsia="仿宋_GB2312"/>
                <w:sz w:val="21"/>
              </w:rPr>
              <w:t>10.974</w:t>
            </w:r>
            <w:r>
              <w:rPr>
                <w:rFonts w:ascii="仿宋_GB2312" w:hAnsi="仿宋_GB2312" w:cs="仿宋_GB2312" w:eastAsia="仿宋_GB2312"/>
                <w:sz w:val="21"/>
              </w:rPr>
              <w:t>公里、村道养护路段共</w:t>
            </w:r>
            <w:r>
              <w:rPr>
                <w:rFonts w:ascii="仿宋_GB2312" w:hAnsi="仿宋_GB2312" w:cs="仿宋_GB2312" w:eastAsia="仿宋_GB2312"/>
                <w:sz w:val="21"/>
              </w:rPr>
              <w:t>40.161</w:t>
            </w:r>
            <w:r>
              <w:rPr>
                <w:rFonts w:ascii="仿宋_GB2312" w:hAnsi="仿宋_GB2312" w:cs="仿宋_GB2312" w:eastAsia="仿宋_GB2312"/>
                <w:sz w:val="21"/>
              </w:rPr>
              <w:t>公里（村道主要用于技术指导和巡查费用）。主要内容包含：</w:t>
            </w:r>
            <w:r>
              <w:rPr>
                <w:rFonts w:ascii="仿宋_GB2312" w:hAnsi="仿宋_GB2312" w:cs="仿宋_GB2312" w:eastAsia="仿宋_GB2312"/>
                <w:sz w:val="21"/>
              </w:rPr>
              <w:t>1</w:t>
            </w:r>
            <w:r>
              <w:rPr>
                <w:rFonts w:ascii="仿宋_GB2312" w:hAnsi="仿宋_GB2312" w:cs="仿宋_GB2312" w:eastAsia="仿宋_GB2312"/>
                <w:sz w:val="21"/>
              </w:rPr>
              <w:t>、路面病害的修补，保证道路畅通；</w:t>
            </w:r>
            <w:r>
              <w:rPr>
                <w:rFonts w:ascii="仿宋_GB2312" w:hAnsi="仿宋_GB2312" w:cs="仿宋_GB2312" w:eastAsia="仿宋_GB2312"/>
                <w:sz w:val="21"/>
              </w:rPr>
              <w:t>2</w:t>
            </w:r>
            <w:r>
              <w:rPr>
                <w:rFonts w:ascii="仿宋_GB2312" w:hAnsi="仿宋_GB2312" w:cs="仿宋_GB2312" w:eastAsia="仿宋_GB2312"/>
                <w:sz w:val="21"/>
              </w:rPr>
              <w:t>、路基：路肩、绿化带修整等；</w:t>
            </w:r>
            <w:r>
              <w:rPr>
                <w:rFonts w:ascii="仿宋_GB2312" w:hAnsi="仿宋_GB2312" w:cs="仿宋_GB2312" w:eastAsia="仿宋_GB2312"/>
                <w:sz w:val="21"/>
              </w:rPr>
              <w:t>3</w:t>
            </w:r>
            <w:r>
              <w:rPr>
                <w:rFonts w:ascii="仿宋_GB2312" w:hAnsi="仿宋_GB2312" w:cs="仿宋_GB2312" w:eastAsia="仿宋_GB2312"/>
                <w:sz w:val="21"/>
              </w:rPr>
              <w:t>、防汛、防雪等灾害天气应急任务；</w:t>
            </w:r>
            <w:r>
              <w:rPr>
                <w:rFonts w:ascii="仿宋_GB2312" w:hAnsi="仿宋_GB2312" w:cs="仿宋_GB2312" w:eastAsia="仿宋_GB2312"/>
                <w:sz w:val="21"/>
              </w:rPr>
              <w:t>4</w:t>
            </w:r>
            <w:r>
              <w:rPr>
                <w:rFonts w:ascii="仿宋_GB2312" w:hAnsi="仿宋_GB2312" w:cs="仿宋_GB2312" w:eastAsia="仿宋_GB2312"/>
                <w:sz w:val="21"/>
              </w:rPr>
              <w:t>、管道清淤、窨井盖维修等日常工作；</w:t>
            </w:r>
            <w:r>
              <w:rPr>
                <w:rFonts w:ascii="仿宋_GB2312" w:hAnsi="仿宋_GB2312" w:cs="仿宋_GB2312" w:eastAsia="仿宋_GB2312"/>
                <w:sz w:val="21"/>
              </w:rPr>
              <w:t>4</w:t>
            </w:r>
            <w:r>
              <w:rPr>
                <w:rFonts w:ascii="仿宋_GB2312" w:hAnsi="仿宋_GB2312" w:cs="仿宋_GB2312" w:eastAsia="仿宋_GB2312"/>
                <w:sz w:val="21"/>
              </w:rPr>
              <w:t>、安保设施的维护；</w:t>
            </w:r>
            <w:r>
              <w:rPr>
                <w:rFonts w:ascii="仿宋_GB2312" w:hAnsi="仿宋_GB2312" w:cs="仿宋_GB2312" w:eastAsia="仿宋_GB2312"/>
                <w:sz w:val="21"/>
              </w:rPr>
              <w:t>5</w:t>
            </w:r>
            <w:r>
              <w:rPr>
                <w:rFonts w:ascii="仿宋_GB2312" w:hAnsi="仿宋_GB2312" w:cs="仿宋_GB2312" w:eastAsia="仿宋_GB2312"/>
                <w:sz w:val="21"/>
              </w:rPr>
              <w:t>、桥梁、两个泵站的日常维护；</w:t>
            </w:r>
            <w:r>
              <w:rPr>
                <w:rFonts w:ascii="仿宋_GB2312" w:hAnsi="仿宋_GB2312" w:cs="仿宋_GB2312" w:eastAsia="仿宋_GB2312"/>
                <w:sz w:val="21"/>
              </w:rPr>
              <w:t>6</w:t>
            </w:r>
            <w:r>
              <w:rPr>
                <w:rFonts w:ascii="仿宋_GB2312" w:hAnsi="仿宋_GB2312" w:cs="仿宋_GB2312" w:eastAsia="仿宋_GB2312"/>
                <w:sz w:val="21"/>
              </w:rPr>
              <w:t>、按要求完成上级安排的临时性应急工作。</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w:t>
            </w:r>
            <w:r>
              <w:rPr>
                <w:rFonts w:ascii="仿宋_GB2312" w:hAnsi="仿宋_GB2312" w:cs="仿宋_GB2312" w:eastAsia="仿宋_GB2312"/>
              </w:rPr>
              <w:t>服务内容与要求</w:t>
            </w:r>
          </w:p>
          <w:p>
            <w:pPr>
              <w:pStyle w:val="null3"/>
            </w:pPr>
            <w:r>
              <w:rPr>
                <w:rFonts w:ascii="仿宋_GB2312" w:hAnsi="仿宋_GB2312" w:cs="仿宋_GB2312" w:eastAsia="仿宋_GB2312"/>
              </w:rPr>
              <w:t xml:space="preserve">2.1 </w:t>
            </w:r>
            <w:r>
              <w:rPr>
                <w:rFonts w:ascii="仿宋_GB2312" w:hAnsi="仿宋_GB2312" w:cs="仿宋_GB2312" w:eastAsia="仿宋_GB2312"/>
              </w:rPr>
              <w:t>服务需求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）供应商必须有良好得社会信誉，具备履行合同必需的设备。</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）供应商须具备保证施工质量的管理体系。</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）成交后，在各具体项目实施过程中，供应商应按要求配备相应的管理班子和必要的设备。</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）供应商须承诺其承担的项目在合同期内全部验收合格。</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）供应商的人员配备、道路养护器械能够满足道路养护质量要求。</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）道路养护质量标准须执行国家、陕西省及西安市农村道路管理养护的相关政策及采购人要求。</w:t>
            </w:r>
          </w:p>
          <w:p>
            <w:pPr>
              <w:pStyle w:val="null3"/>
            </w:pPr>
            <w:r>
              <w:rPr>
                <w:rFonts w:ascii="仿宋_GB2312" w:hAnsi="仿宋_GB2312" w:cs="仿宋_GB2312" w:eastAsia="仿宋_GB2312"/>
              </w:rPr>
              <w:t>2.2</w:t>
            </w:r>
            <w:r>
              <w:rPr>
                <w:rFonts w:ascii="仿宋_GB2312" w:hAnsi="仿宋_GB2312" w:cs="仿宋_GB2312" w:eastAsia="仿宋_GB2312"/>
              </w:rPr>
              <w:t>服务内容</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）县道养护路段共</w:t>
            </w:r>
            <w:r>
              <w:rPr>
                <w:rFonts w:ascii="仿宋_GB2312" w:hAnsi="仿宋_GB2312" w:cs="仿宋_GB2312" w:eastAsia="仿宋_GB2312"/>
              </w:rPr>
              <w:t>24.732</w:t>
            </w:r>
            <w:r>
              <w:rPr>
                <w:rFonts w:ascii="仿宋_GB2312" w:hAnsi="仿宋_GB2312" w:cs="仿宋_GB2312" w:eastAsia="仿宋_GB2312"/>
              </w:rPr>
              <w:t>公里、乡道养护路段共</w:t>
            </w:r>
            <w:r>
              <w:rPr>
                <w:rFonts w:ascii="仿宋_GB2312" w:hAnsi="仿宋_GB2312" w:cs="仿宋_GB2312" w:eastAsia="仿宋_GB2312"/>
              </w:rPr>
              <w:t>10.974</w:t>
            </w:r>
            <w:r>
              <w:rPr>
                <w:rFonts w:ascii="仿宋_GB2312" w:hAnsi="仿宋_GB2312" w:cs="仿宋_GB2312" w:eastAsia="仿宋_GB2312"/>
              </w:rPr>
              <w:t>公里、村道养护路段共</w:t>
            </w:r>
            <w:r>
              <w:rPr>
                <w:rFonts w:ascii="仿宋_GB2312" w:hAnsi="仿宋_GB2312" w:cs="仿宋_GB2312" w:eastAsia="仿宋_GB2312"/>
              </w:rPr>
              <w:t>40.161</w:t>
            </w:r>
            <w:r>
              <w:rPr>
                <w:rFonts w:ascii="仿宋_GB2312" w:hAnsi="仿宋_GB2312" w:cs="仿宋_GB2312" w:eastAsia="仿宋_GB2312"/>
              </w:rPr>
              <w:t>公里。</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）技术状况评定指数：优、良、中占比</w:t>
            </w:r>
            <w:r>
              <w:rPr>
                <w:rFonts w:ascii="仿宋_GB2312" w:hAnsi="仿宋_GB2312" w:cs="仿宋_GB2312" w:eastAsia="仿宋_GB2312"/>
              </w:rPr>
              <w:t>7</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以上。</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）路基养护作业：包括路肩边坡整修、水沟清理、涵洞疏通等以及养护桥涵构造物，沿线设施都要按照分级养护的标准和频率进行养护，使之经常保持良好的状态。</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路面养护作业：包括处理路面出现的网裂、龟裂、坑槽、沉陷、翻浆等以及其他小型工程维修，桥涵构造物的维修和沿线附属设施的刷新增设，及破损路缘石更换，雨水口修复，检查井盖更换。按照分级养护的标准和频率进行养护，使之经常保持良好的状态。</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应急工程：防汛、防雪等灾害天气应急任务和由于水毁、风暴、冰雪等自然灾害和交通事故或其他人为因素造成的公路及其设施的重大毁损的抢修和恢复正常，由乙方承包施工，乙方应及时上报抢险工程的有关情况，防洪排水并立即组织抢险。</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）管道清理：清捞、疏通、日常检查</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）绿化工程：养护、修剪、枯木移除</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）桥梁设施及两个泵站的日常维护</w:t>
            </w:r>
          </w:p>
          <w:p>
            <w:pPr>
              <w:pStyle w:val="null3"/>
            </w:pPr>
            <w:r>
              <w:rPr>
                <w:rFonts w:ascii="仿宋_GB2312" w:hAnsi="仿宋_GB2312" w:cs="仿宋_GB2312" w:eastAsia="仿宋_GB2312"/>
              </w:rPr>
              <w:t>2.3</w:t>
            </w:r>
            <w:r>
              <w:rPr>
                <w:rFonts w:ascii="仿宋_GB2312" w:hAnsi="仿宋_GB2312" w:cs="仿宋_GB2312" w:eastAsia="仿宋_GB2312"/>
              </w:rPr>
              <w:t>人员、机械满足考核要求。</w:t>
            </w:r>
          </w:p>
          <w:p>
            <w:pPr>
              <w:pStyle w:val="null3"/>
            </w:pPr>
            <w:r>
              <w:rPr>
                <w:rFonts w:ascii="仿宋_GB2312" w:hAnsi="仿宋_GB2312" w:cs="仿宋_GB2312" w:eastAsia="仿宋_GB2312"/>
              </w:rPr>
              <w:t>2.4</w:t>
            </w:r>
            <w:r>
              <w:rPr>
                <w:rFonts w:ascii="仿宋_GB2312" w:hAnsi="仿宋_GB2312" w:cs="仿宋_GB2312" w:eastAsia="仿宋_GB2312"/>
              </w:rPr>
              <w:t>服务、产品（如有）执行的标准、规范：</w:t>
            </w:r>
          </w:p>
          <w:p>
            <w:pPr>
              <w:pStyle w:val="null3"/>
            </w:pPr>
            <w:r>
              <w:rPr>
                <w:rFonts w:ascii="仿宋_GB2312" w:hAnsi="仿宋_GB2312" w:cs="仿宋_GB2312" w:eastAsia="仿宋_GB2312"/>
              </w:rPr>
              <w:t>国家标准、规范。</w:t>
            </w:r>
          </w:p>
          <w:p>
            <w:pPr>
              <w:pStyle w:val="null3"/>
            </w:pPr>
            <w:r>
              <w:rPr>
                <w:rFonts w:ascii="仿宋_GB2312" w:hAnsi="仿宋_GB2312" w:cs="仿宋_GB2312" w:eastAsia="仿宋_GB2312"/>
              </w:rPr>
              <w:t>2.5</w:t>
            </w:r>
            <w:r>
              <w:rPr>
                <w:rFonts w:ascii="仿宋_GB2312" w:hAnsi="仿宋_GB2312" w:cs="仿宋_GB2312" w:eastAsia="仿宋_GB2312"/>
              </w:rPr>
              <w:t>本章</w:t>
            </w:r>
            <w:r>
              <w:rPr>
                <w:rFonts w:ascii="仿宋_GB2312" w:hAnsi="仿宋_GB2312" w:cs="仿宋_GB2312" w:eastAsia="仿宋_GB2312"/>
              </w:rPr>
              <w:t>2.4</w:t>
            </w:r>
            <w:r>
              <w:rPr>
                <w:rFonts w:ascii="仿宋_GB2312" w:hAnsi="仿宋_GB2312" w:cs="仿宋_GB2312" w:eastAsia="仿宋_GB2312"/>
              </w:rPr>
              <w:t>条未明确服务（产品）执行标准、规范的，按下列方法进行选择：</w:t>
            </w:r>
          </w:p>
          <w:p>
            <w:pPr>
              <w:pStyle w:val="null3"/>
            </w:pPr>
            <w:r>
              <w:rPr>
                <w:rFonts w:ascii="仿宋_GB2312" w:hAnsi="仿宋_GB2312" w:cs="仿宋_GB2312" w:eastAsia="仿宋_GB2312"/>
              </w:rPr>
              <w:t xml:space="preserve">       </w:t>
            </w:r>
            <w:r>
              <w:rPr>
                <w:rFonts w:ascii="仿宋_GB2312" w:hAnsi="仿宋_GB2312" w:cs="仿宋_GB2312" w:eastAsia="仿宋_GB2312"/>
              </w:rPr>
              <w:t>□ 顺序执行：国家标准→行业标准→地方标准→企业标准（有国家标准按国家标准执行，没有国家标准按行业标准，以此类推）；</w:t>
            </w:r>
          </w:p>
          <w:p>
            <w:pPr>
              <w:pStyle w:val="null3"/>
            </w:pP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最高标准执行：国家标准，行业标准，地方标准，企业标准（那个标准高执行那个标准）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必须执行：国家、行业强制性标准。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w:t>
            </w:r>
            <w:r>
              <w:rPr>
                <w:rFonts w:ascii="仿宋_GB2312" w:hAnsi="仿宋_GB2312" w:cs="仿宋_GB2312" w:eastAsia="仿宋_GB2312"/>
              </w:rPr>
              <w:t>服务期限</w:t>
            </w:r>
          </w:p>
          <w:p>
            <w:pPr>
              <w:pStyle w:val="null3"/>
              <w:jc w:val="both"/>
            </w:pPr>
            <w:r>
              <w:rPr>
                <w:rFonts w:ascii="仿宋_GB2312" w:hAnsi="仿宋_GB2312" w:cs="仿宋_GB2312" w:eastAsia="仿宋_GB2312"/>
                <w:sz w:val="21"/>
              </w:rPr>
              <w:t>自合同签订之日起一年。</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4.</w:t>
            </w:r>
            <w:r>
              <w:rPr>
                <w:rFonts w:ascii="仿宋_GB2312" w:hAnsi="仿宋_GB2312" w:cs="仿宋_GB2312" w:eastAsia="仿宋_GB2312"/>
              </w:rPr>
              <w:t>质量要求</w:t>
            </w:r>
          </w:p>
          <w:p>
            <w:pPr>
              <w:pStyle w:val="null3"/>
              <w:jc w:val="both"/>
            </w:pPr>
            <w:r>
              <w:rPr>
                <w:rFonts w:ascii="仿宋_GB2312" w:hAnsi="仿宋_GB2312" w:cs="仿宋_GB2312" w:eastAsia="仿宋_GB2312"/>
                <w:sz w:val="21"/>
              </w:rPr>
              <w:t>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拟投设施设备须满足完成采购内容要求的所有事项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1.符合竞争性磋商文件规定 2.最高限价：总预算：963,300.00元 供应商采购包报价高于采购包采购预算的，其响应文件将按无效处理。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工程量支付，乙方每月5号向甲方提交上月的日常养护完成情况和《月支付证书》。甲方每月对乙方服务质量进行检查考核，考核合格并出具书面确认文件后，方可作为支付依据。如服务质量考核不合格，甲方有权拒绝支付该部分款项，且乙方须在规定期限内完成整改直至达到合同约定标准，期间甲方不承担任何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中标单位应在项目中标后无偿线下提交响应文件正本壹套、副本贰套、电子版(U盘贰套标明供应商名称，单独密封）。若电子响应文件与纸质响应文件不一致的，以电子响应文件为准，若正本和副本不符，以正本为准。线下递交文件时间：详见本项目磋商公告响应文件递交截止时间：以代理机构通知为准。线下递交文件地点:西安市经济技术开发区赛高国际D座6层603室。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交通运输主管部门颁发的公路养护工程施工三类及以上资质或具备公路养护作业（路基路面养护乙级及以上资质及交通安全设施养护资质）资质或住建部门颁发的市政公用工程施工总承包三级及以上资质，并具有合法有效的安全生产许可证：供应商须具备交通运输主管部门颁发的公路养护工程施工三类及以上资质或具备公路养护作业（路基路面养护乙级及以上资质及交通安全设施养护资质）资质或住建部门颁发的市政公用工程施工总承包三级及以上资质，并具有合法有效的安全生产许可证，合法有效</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未超过项目最高限价，无选择性报价</w:t>
            </w:r>
          </w:p>
        </w:tc>
        <w:tc>
          <w:tcPr>
            <w:tcW w:type="dxa" w:w="1661"/>
          </w:tcPr>
          <w:p>
            <w:pPr>
              <w:pStyle w:val="null3"/>
            </w:pPr>
            <w:r>
              <w:rPr>
                <w:rFonts w:ascii="仿宋_GB2312" w:hAnsi="仿宋_GB2312" w:cs="仿宋_GB2312" w:eastAsia="仿宋_GB2312"/>
              </w:rPr>
              <w:t>服务内容及服务邀请应答表 残疾人福利性单位声明函 商务应答表 标的清单 磋商产品属节能、环境标志产品列表.docx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法律法规规定的废标情况</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商务响应及合同条款响应</w:t>
            </w:r>
          </w:p>
        </w:tc>
        <w:tc>
          <w:tcPr>
            <w:tcW w:type="dxa" w:w="3322"/>
          </w:tcPr>
          <w:p>
            <w:pPr>
              <w:pStyle w:val="null3"/>
            </w:pPr>
            <w:r>
              <w:rPr>
                <w:rFonts w:ascii="仿宋_GB2312" w:hAnsi="仿宋_GB2312" w:cs="仿宋_GB2312" w:eastAsia="仿宋_GB2312"/>
              </w:rPr>
              <w:t>完全响应</w:t>
            </w:r>
          </w:p>
        </w:tc>
        <w:tc>
          <w:tcPr>
            <w:tcW w:type="dxa" w:w="1661"/>
          </w:tcPr>
          <w:p>
            <w:pPr>
              <w:pStyle w:val="null3"/>
            </w:pPr>
            <w:r>
              <w:rPr>
                <w:rFonts w:ascii="仿宋_GB2312" w:hAnsi="仿宋_GB2312" w:cs="仿宋_GB2312" w:eastAsia="仿宋_GB2312"/>
              </w:rPr>
              <w:t>服务内容及服务邀请应答表 商务应答表 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节能、环保、环境标志产品鼓励优惠政策</w:t>
            </w:r>
          </w:p>
        </w:tc>
        <w:tc>
          <w:tcPr>
            <w:tcW w:type="dxa" w:w="2492"/>
          </w:tcPr>
          <w:p>
            <w:pPr>
              <w:pStyle w:val="null3"/>
            </w:pPr>
            <w:r>
              <w:rPr>
                <w:rFonts w:ascii="仿宋_GB2312" w:hAnsi="仿宋_GB2312" w:cs="仿宋_GB2312" w:eastAsia="仿宋_GB2312"/>
              </w:rPr>
              <w:t>投标产品具有国家节能环保部门提供的认证证书，每提供一个，得1分，本项最高得1分。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磋商产品属节能、环境标志产品列表.docx</w:t>
            </w:r>
          </w:p>
        </w:tc>
      </w:tr>
      <w:tr>
        <w:tc>
          <w:tcPr>
            <w:tcW w:type="dxa" w:w="831"/>
            <w:vMerge/>
          </w:tcPr>
          <w:p/>
        </w:tc>
        <w:tc>
          <w:tcPr>
            <w:tcW w:type="dxa" w:w="1661"/>
          </w:tcPr>
          <w:p>
            <w:pPr>
              <w:pStyle w:val="null3"/>
            </w:pPr>
            <w:r>
              <w:rPr>
                <w:rFonts w:ascii="仿宋_GB2312" w:hAnsi="仿宋_GB2312" w:cs="仿宋_GB2312" w:eastAsia="仿宋_GB2312"/>
              </w:rPr>
              <w:t>服务方案及承诺1</w:t>
            </w:r>
          </w:p>
        </w:tc>
        <w:tc>
          <w:tcPr>
            <w:tcW w:type="dxa" w:w="2492"/>
          </w:tcPr>
          <w:p>
            <w:pPr>
              <w:pStyle w:val="null3"/>
            </w:pPr>
            <w:r>
              <w:rPr>
                <w:rFonts w:ascii="仿宋_GB2312" w:hAnsi="仿宋_GB2312" w:cs="仿宋_GB2312" w:eastAsia="仿宋_GB2312"/>
              </w:rPr>
              <w:t>服务方案内容是否完整，是否包含本项目所要求的所有服务内容，服务方案是否详细。（方案详细合理、针对性强，能包括本项目所有服务内容，并能提出有针对性、创新性、优越性的方案得[6-10]；方案合理、针对性一般得[3-6)；方案一般合理，针对性不足得[0-3)）</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服务方案及承诺2</w:t>
            </w:r>
          </w:p>
        </w:tc>
        <w:tc>
          <w:tcPr>
            <w:tcW w:type="dxa" w:w="2492"/>
          </w:tcPr>
          <w:p>
            <w:pPr>
              <w:pStyle w:val="null3"/>
            </w:pPr>
            <w:r>
              <w:rPr>
                <w:rFonts w:ascii="仿宋_GB2312" w:hAnsi="仿宋_GB2312" w:cs="仿宋_GB2312" w:eastAsia="仿宋_GB2312"/>
              </w:rPr>
              <w:t>根据项目具体情况提出的难点、重点，并进行分析提出解决方法进行评分（难点重点分析全面，解决方案详细可行得[6-9]，难点重点分析不足，解决方案一般得[3-6）；难点重点分析不足，解决方案合理性欠缺得[0-3））</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服务方案及承诺3</w:t>
            </w:r>
          </w:p>
        </w:tc>
        <w:tc>
          <w:tcPr>
            <w:tcW w:type="dxa" w:w="2492"/>
          </w:tcPr>
          <w:p>
            <w:pPr>
              <w:pStyle w:val="null3"/>
            </w:pPr>
            <w:r>
              <w:rPr>
                <w:rFonts w:ascii="仿宋_GB2312" w:hAnsi="仿宋_GB2312" w:cs="仿宋_GB2312" w:eastAsia="仿宋_GB2312"/>
              </w:rPr>
              <w:t>为提高服务管理品质、效率，针对本项目配备的设施设备和物品。针对本项目投入的器械及设备的种类、功能、数量等情况赋分（种类齐全、功能及数量满足采购得[3-5]；功能及数量能满足采购要求但种类齐全程度一般得[2-3)；种类不足，数量较少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服务方案及承诺4</w:t>
            </w:r>
          </w:p>
        </w:tc>
        <w:tc>
          <w:tcPr>
            <w:tcW w:type="dxa" w:w="2492"/>
          </w:tcPr>
          <w:p>
            <w:pPr>
              <w:pStyle w:val="null3"/>
            </w:pPr>
            <w:r>
              <w:rPr>
                <w:rFonts w:ascii="仿宋_GB2312" w:hAnsi="仿宋_GB2312" w:cs="仿宋_GB2312" w:eastAsia="仿宋_GB2312"/>
              </w:rPr>
              <w:t>根据项目情况制定紧急预案，出现水毁、风暴、冰雪等响应情况及保障措施。（详细且全面，合理可行得[3-5]分，一般详细不够全面，合理可行一般得[2-3）分；一般详细不够全面，合理可行欠缺得[0-2）分）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服务方案及承诺5</w:t>
            </w:r>
          </w:p>
        </w:tc>
        <w:tc>
          <w:tcPr>
            <w:tcW w:type="dxa" w:w="2492"/>
          </w:tcPr>
          <w:p>
            <w:pPr>
              <w:pStyle w:val="null3"/>
            </w:pPr>
            <w:r>
              <w:rPr>
                <w:rFonts w:ascii="仿宋_GB2312" w:hAnsi="仿宋_GB2312" w:cs="仿宋_GB2312" w:eastAsia="仿宋_GB2312"/>
              </w:rPr>
              <w:t>按照对养护状况的检查验收、记录工作程度高低进行赋分； 检查验收、记录方案合理、完整，得[6-10]分； 检查验收、记录方案较合理、较完整，得[3-6）分 检查验收、记录方案不完善，得[0-3）分； 无描述不得分。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服务方案及承诺6</w:t>
            </w:r>
          </w:p>
        </w:tc>
        <w:tc>
          <w:tcPr>
            <w:tcW w:type="dxa" w:w="2492"/>
          </w:tcPr>
          <w:p>
            <w:pPr>
              <w:pStyle w:val="null3"/>
            </w:pPr>
            <w:r>
              <w:rPr>
                <w:rFonts w:ascii="仿宋_GB2312" w:hAnsi="仿宋_GB2312" w:cs="仿宋_GB2312" w:eastAsia="仿宋_GB2312"/>
              </w:rPr>
              <w:t>根据对夜间、雨雪等极端天气、车流量大等紧急情况下的养护方案合理性完整性进行比较赋分。 方案科学、合理、完整全面、规范可行性强，得[3-5]分； 方案较科学、较合理、较完整，比较全面、可行性较强得[2-3）分 方案不完善，可行性一般得（0-2）分； 无描述不得分。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2022年1月1日至今本单位承担过类似项目业绩。每份业绩得1分，满分3分。（以中标通知书或合同签订的时间为准，投标文件中附其业绩证明材料）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提供至少一名专职安全管理人员，并具有相关部门颁发的安全生产考核证，提供得2分，不提供得0分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项目人员组成表.docx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根据本项目配备的人员情况，组织管理体系，是否能够有效实施养护管理工作，是否为养护人员购买保险。（人员配备合理，包括但不限于包括但不限于项目负责人、内业资料员、项目技术人员等，管理科学能有效实施养护管理工作的得[4-8]；人员配备不足，管理科学较能有效实施养护管理工作的得[2-4）；人员配备不足，管理体系不完整，不能有效实施养护管理工作的得[0-2））</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项目人员组成表.docx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供应商确保服务质量，按时完成养护任务； 确保养护过程符合国家、省、行业相关技术规范及标准、规划。 服务承诺完善、工作安排详尽、切实、可行得 [3-6]分； 服务承诺比较合理、工作安排到位，可操作性较强，得[2-3）分； 服务承诺不合理、工作安排不到位，可操作性差，得（0-2）分； 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提供利于本项目实施的合理化建议，根据建议的可行性、合理性赋分。 a.提供完整的建议，得 [3-6]分； b.提供较为完整的建议，得[2-3）分； c.提供不够完整，得（0-2）分； d.未提供不得分。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满足磋商文件要求且磋商价格最低的磋商报价为评审基准价，其价格分为满分。其他投标供应商的价格分统一按照下列公式计算：投标报价得分=（评标基准价/投标报价）×30%×100 计算分数时四舍五入取小数点后两位。 注：1、评委会二分之一以上专家认为供应商的报价明显低于其他供应商的报价，可能影响工程质量或者不能诚信履约的，应当要求其在评标现场合理的时间内提供书面说明，必要时提交相关证明材料；供应商不能证明其报价合理性的，评标委员会应当将其作为无效处理。 2、（根据《政府采购促进中小企业发展暂行办法》的相关规定，对小型和微型企业制造（生产）产品的价格给予10%的扣除，用扣除后的价格参与评审）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详见附件：资格审查文件.docx</w:t>
      </w:r>
    </w:p>
    <w:p>
      <w:pPr>
        <w:pStyle w:val="null3"/>
        <w:ind w:firstLine="960"/>
      </w:pPr>
      <w:r>
        <w:rPr>
          <w:rFonts w:ascii="仿宋_GB2312" w:hAnsi="仿宋_GB2312" w:cs="仿宋_GB2312" w:eastAsia="仿宋_GB2312"/>
        </w:rPr>
        <w:t>详见附件：磋商产品属节能、环境标志产品列表.docx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详见附件：项目人员组成表.docx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