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版本号：HHGJZC2025-CS28920250918001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未央区汉长安城遗址区域周边3处建筑垃圾堆体清运整治项目监理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HHGJZC2025-CS289</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未央区汉长安城遗址区域周边3处建筑垃圾堆体清运整治项目监理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HHGJZC2025-CS289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未央区汉长安城遗址区域周边3处建筑垃圾堆体清运整治项目监理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由第三方在未央区汉长安城遗址区域周边3处建筑垃圾堆体清运整治项目提供监理服务。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采购包1（未央区汉长安城遗址区域周边3处建筑垃圾堆体清运整治项目监理）：属于专门面向中小企业采购。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2、企业资质：供应商具备行政主管部门颁发的工程监理综合资质或房屋建筑工程监理乙级及以上资质；</w:t>
      </w:r>
    </w:p>
    <w:p>
      <w:pPr>
        <w:pStyle w:val="null3"/>
      </w:pPr>
      <w:r>
        <w:rPr>
          <w:rFonts w:ascii="仿宋_GB2312" w:hAnsi="仿宋_GB2312" w:cs="仿宋_GB2312" w:eastAsia="仿宋_GB2312"/>
        </w:rPr>
        <w:t>3、项目负责人资质：拟派项目总监理工程师须具房屋建筑工程专业国家注册监理工程师执业证书，且未担任其他在建工程项目的总监理工程师（提供承诺书）；</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18710953331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029-81618494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采购包1：503,150.63元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有关规定收取。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由第三方在未央区汉长安城遗址区域周边3处建筑垃圾堆体清运整治项目提供监理服务。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503,150.63</w:t>
      </w:r>
    </w:p>
    <w:p>
      <w:pPr>
        <w:pStyle w:val="null3"/>
      </w:pPr>
      <w:r>
        <w:rPr>
          <w:rFonts w:ascii="仿宋_GB2312" w:hAnsi="仿宋_GB2312" w:cs="仿宋_GB2312" w:eastAsia="仿宋_GB2312"/>
        </w:rPr>
        <w:t>采购包最高限价（元）: 503,150.63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未央区汉长安城遗址区域周边3处建筑垃圾堆体清运整治项目监理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503,150.63</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标的名称：未央区汉长安城遗址区域周边3处建筑垃圾堆体清运整治项目监理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shd w:fill="FFFFFF" w:val="clear"/>
              </w:rPr>
              <w:t>一、监理服务范围</w:t>
            </w:r>
          </w:p>
          <w:p>
            <w:pPr>
              <w:pStyle w:val="null3"/>
            </w:pPr>
            <w:r>
              <w:rPr>
                <w:rFonts w:ascii="仿宋_GB2312" w:hAnsi="仿宋_GB2312" w:cs="仿宋_GB2312" w:eastAsia="仿宋_GB2312"/>
                <w:sz w:val="21"/>
                <w:shd w:fill="FFFFFF" w:val="clear"/>
              </w:rPr>
              <w:t>监理服务范围包括对</w:t>
            </w:r>
            <w:r>
              <w:rPr>
                <w:rFonts w:ascii="仿宋_GB2312" w:hAnsi="仿宋_GB2312" w:cs="仿宋_GB2312" w:eastAsia="仿宋_GB2312"/>
                <w:sz w:val="21"/>
                <w:shd w:fill="FFFFFF" w:val="clear"/>
              </w:rPr>
              <w:t>未央区汉长安城遗址区域周边</w:t>
            </w:r>
            <w:r>
              <w:rPr>
                <w:rFonts w:ascii="仿宋_GB2312" w:hAnsi="仿宋_GB2312" w:cs="仿宋_GB2312" w:eastAsia="仿宋_GB2312"/>
                <w:sz w:val="21"/>
                <w:shd w:fill="FFFFFF" w:val="clear"/>
              </w:rPr>
              <w:t>3处建筑垃圾堆体清运整治项目</w:t>
            </w:r>
            <w:r>
              <w:rPr>
                <w:rFonts w:ascii="仿宋_GB2312" w:hAnsi="仿宋_GB2312" w:cs="仿宋_GB2312" w:eastAsia="仿宋_GB2312"/>
                <w:sz w:val="21"/>
                <w:shd w:fill="FFFFFF" w:val="clear"/>
              </w:rPr>
              <w:t>实施过程进行监督、验收阶段监理及竣工验收资料移交的监理等相关工作。</w:t>
            </w:r>
          </w:p>
          <w:p>
            <w:pPr>
              <w:pStyle w:val="null3"/>
            </w:pPr>
            <w:r>
              <w:rPr>
                <w:rFonts w:ascii="仿宋_GB2312" w:hAnsi="仿宋_GB2312" w:cs="仿宋_GB2312" w:eastAsia="仿宋_GB2312"/>
                <w:sz w:val="21"/>
                <w:b/>
                <w:shd w:fill="FFFFFF" w:val="clear"/>
              </w:rPr>
              <w:t>二、服务内容</w:t>
            </w:r>
          </w:p>
          <w:p>
            <w:pPr>
              <w:pStyle w:val="null3"/>
            </w:pPr>
            <w:r>
              <w:rPr>
                <w:rFonts w:ascii="仿宋_GB2312" w:hAnsi="仿宋_GB2312" w:cs="仿宋_GB2312" w:eastAsia="仿宋_GB2312"/>
                <w:sz w:val="21"/>
                <w:shd w:fill="FFFFFF" w:val="clear"/>
              </w:rPr>
              <w:t>1.保证项目实施各阶段工作保质如期完成</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shd w:fill="FFFFFF" w:val="clear"/>
              </w:rPr>
              <w:t>2.严格按合同要求进行监理，督促项目承建单位按时按质完成项目。保证项目的质量，确保项目正常运行；</w:t>
            </w:r>
          </w:p>
          <w:p>
            <w:pPr>
              <w:pStyle w:val="null3"/>
            </w:pPr>
            <w:r>
              <w:rPr>
                <w:rFonts w:ascii="仿宋_GB2312" w:hAnsi="仿宋_GB2312" w:cs="仿宋_GB2312" w:eastAsia="仿宋_GB2312"/>
                <w:sz w:val="21"/>
                <w:shd w:fill="FFFFFF" w:val="clear"/>
              </w:rPr>
              <w:t>3.确保所监理的工程能够达到该</w:t>
            </w:r>
            <w:r>
              <w:rPr>
                <w:rFonts w:ascii="仿宋_GB2312" w:hAnsi="仿宋_GB2312" w:cs="仿宋_GB2312" w:eastAsia="仿宋_GB2312"/>
                <w:sz w:val="21"/>
                <w:shd w:fill="FFFFFF" w:val="clear"/>
              </w:rPr>
              <w:t>项目</w:t>
            </w:r>
            <w:r>
              <w:rPr>
                <w:rFonts w:ascii="仿宋_GB2312" w:hAnsi="仿宋_GB2312" w:cs="仿宋_GB2312" w:eastAsia="仿宋_GB2312"/>
                <w:sz w:val="21"/>
                <w:shd w:fill="FFFFFF" w:val="clear"/>
              </w:rPr>
              <w:t>施工合同所约定的质量标准和质量目标；</w:t>
            </w:r>
          </w:p>
          <w:p>
            <w:pPr>
              <w:pStyle w:val="null3"/>
            </w:pPr>
            <w:r>
              <w:rPr>
                <w:rFonts w:ascii="仿宋_GB2312" w:hAnsi="仿宋_GB2312" w:cs="仿宋_GB2312" w:eastAsia="仿宋_GB2312"/>
                <w:sz w:val="21"/>
                <w:shd w:fill="FFFFFF" w:val="clear"/>
              </w:rPr>
              <w:t>4.确保承包方能够按合同中要求的合同工期完成任务并及时交付使用；</w:t>
            </w:r>
          </w:p>
          <w:p>
            <w:pPr>
              <w:pStyle w:val="null3"/>
            </w:pPr>
            <w:r>
              <w:rPr>
                <w:rFonts w:ascii="仿宋_GB2312" w:hAnsi="仿宋_GB2312" w:cs="仿宋_GB2312" w:eastAsia="仿宋_GB2312"/>
                <w:sz w:val="21"/>
                <w:shd w:fill="FFFFFF" w:val="clear"/>
              </w:rPr>
              <w:t>5.确保承包人建立健全安全生产责任制和安全生产专项系统，落实安全预防措施，确保工地安全无事故；</w:t>
            </w:r>
          </w:p>
          <w:p>
            <w:pPr>
              <w:pStyle w:val="null3"/>
            </w:pPr>
            <w:r>
              <w:rPr>
                <w:rFonts w:ascii="仿宋_GB2312" w:hAnsi="仿宋_GB2312" w:cs="仿宋_GB2312" w:eastAsia="仿宋_GB2312"/>
                <w:sz w:val="21"/>
                <w:shd w:fill="FFFFFF" w:val="clear"/>
              </w:rPr>
              <w:t>6.定期检查施工进度落实情况，对进度计划做及时的、必要的修改调整，控制施工进度；</w:t>
            </w:r>
          </w:p>
          <w:p>
            <w:pPr>
              <w:pStyle w:val="null3"/>
            </w:pP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定期向建设单位汇报项目进展情况，提交项目监理报告；</w:t>
            </w:r>
          </w:p>
          <w:p>
            <w:pPr>
              <w:pStyle w:val="null3"/>
            </w:pPr>
            <w:r>
              <w:rPr>
                <w:rFonts w:ascii="仿宋_GB2312" w:hAnsi="仿宋_GB2312" w:cs="仿宋_GB2312" w:eastAsia="仿宋_GB2312"/>
                <w:sz w:val="21"/>
                <w:shd w:fill="FFFFFF" w:val="clear"/>
              </w:rPr>
              <w:t>8.</w:t>
            </w:r>
            <w:r>
              <w:rPr>
                <w:rFonts w:ascii="仿宋_GB2312" w:hAnsi="仿宋_GB2312" w:cs="仿宋_GB2312" w:eastAsia="仿宋_GB2312"/>
                <w:sz w:val="21"/>
                <w:shd w:fill="FFFFFF" w:val="clear"/>
              </w:rPr>
              <w:t>代表建设单位协调与</w:t>
            </w:r>
            <w:r>
              <w:rPr>
                <w:rFonts w:ascii="仿宋_GB2312" w:hAnsi="仿宋_GB2312" w:cs="仿宋_GB2312" w:eastAsia="仿宋_GB2312"/>
                <w:sz w:val="21"/>
                <w:shd w:fill="FFFFFF" w:val="clear"/>
              </w:rPr>
              <w:t>施工</w:t>
            </w:r>
            <w:r>
              <w:rPr>
                <w:rFonts w:ascii="仿宋_GB2312" w:hAnsi="仿宋_GB2312" w:cs="仿宋_GB2312" w:eastAsia="仿宋_GB2312"/>
                <w:sz w:val="21"/>
                <w:shd w:fill="FFFFFF" w:val="clear"/>
              </w:rPr>
              <w:t>单位的工作关系和协调解决项目</w:t>
            </w:r>
            <w:r>
              <w:rPr>
                <w:rFonts w:ascii="仿宋_GB2312" w:hAnsi="仿宋_GB2312" w:cs="仿宋_GB2312" w:eastAsia="仿宋_GB2312"/>
                <w:sz w:val="21"/>
                <w:shd w:fill="FFFFFF" w:val="clear"/>
              </w:rPr>
              <w:t>进行过程</w:t>
            </w:r>
            <w:r>
              <w:rPr>
                <w:rFonts w:ascii="仿宋_GB2312" w:hAnsi="仿宋_GB2312" w:cs="仿宋_GB2312" w:eastAsia="仿宋_GB2312"/>
                <w:sz w:val="21"/>
                <w:shd w:fill="FFFFFF" w:val="clear"/>
              </w:rPr>
              <w:t>过程中的各类纠纷。</w:t>
            </w:r>
          </w:p>
          <w:p>
            <w:pPr>
              <w:pStyle w:val="null3"/>
            </w:pPr>
            <w:r>
              <w:rPr>
                <w:rFonts w:ascii="仿宋_GB2312" w:hAnsi="仿宋_GB2312" w:cs="仿宋_GB2312" w:eastAsia="仿宋_GB2312"/>
                <w:sz w:val="21"/>
                <w:b/>
                <w:shd w:fill="FFFFFF" w:val="clear"/>
              </w:rPr>
              <w:t>三、服务要求</w:t>
            </w:r>
          </w:p>
          <w:p>
            <w:pPr>
              <w:pStyle w:val="null3"/>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严格执行委托人关于建设工程全过程跟踪监理的有关规定，履行各项职责，接受委托人的监督。</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建立完善工作制度，定期将监理情况及时向委托人汇报。内容主要包括目前监理工作的进度，监理工作中发现的问题及需要协调的事项。</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建立固定联系人制度，明确该监理项目的项目负责人，项目负责人作为与委托人的固定联系人。</w:t>
            </w:r>
          </w:p>
          <w:p>
            <w:pPr>
              <w:pStyle w:val="null3"/>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重大问题请示报告制度，各项目小组在工作中遇到的重大、紧急的、需及时与有关各方沟通及协调处理的问题，经项目负责人提出初步意见后，以重大问题报告的形式随时向委托人提交。</w:t>
            </w:r>
          </w:p>
          <w:p>
            <w:pPr>
              <w:pStyle w:val="null3"/>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本项目实施对工程项目全过程跟踪监理。派驻现场人员确保身体健康，能够适应工程现场工作。其他人员应按响应文件中的人员配备组织安排，不得随意变动，如需变动，须经采购人书面同意。</w:t>
            </w:r>
          </w:p>
          <w:p>
            <w:pPr>
              <w:pStyle w:val="null3"/>
            </w:pP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监理人员从事工程建设监理活动，应当遵纪守法、诚信、公正、科学的准则，应有良好的执业道德和严谨的工作作风。</w:t>
            </w:r>
          </w:p>
          <w:p>
            <w:pPr>
              <w:pStyle w:val="null3"/>
              <w:jc w:val="both"/>
            </w:pPr>
            <w:r>
              <w:rPr>
                <w:rFonts w:ascii="仿宋_GB2312" w:hAnsi="仿宋_GB2312" w:cs="仿宋_GB2312" w:eastAsia="仿宋_GB2312"/>
                <w:sz w:val="21"/>
                <w:b/>
                <w:shd w:fill="FFFFFF" w:val="clear"/>
              </w:rPr>
              <w:t>四、质量要求：</w:t>
            </w:r>
            <w:r>
              <w:rPr>
                <w:rFonts w:ascii="仿宋_GB2312" w:hAnsi="仿宋_GB2312" w:cs="仿宋_GB2312" w:eastAsia="仿宋_GB2312"/>
                <w:sz w:val="21"/>
                <w:shd w:fill="FFFFFF" w:val="clear"/>
              </w:rPr>
              <w:t>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为本项目配备专业的监理服务团队，除配备1名总监理工程师外还应配备：总监理工程师代表1名，专业监理工程师2名，提供加盖单位公章的工程类注册执业资格证或相关专业中级及以上职称证书扫描件或复印件，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为本合同包配置有利于完成本项目服务内容的设备设施。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合同金额付清后，该监理项目的所有监理取证资料及监理工作底稿以及监理报告版权属委托人所有，成交人需将相关监理资料按委托人要求提交委托人归档。如有需要，委托人可随时查阅中标人的监理归档材料。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自合同签订之日起至工程竣工验收合格之日止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服务要求中的指定地点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项目完工后，由采购人、使用单位组织项目总监及相关人员按照国家行业规范标准和文献资料进行考评、验收。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工程完工后，监理单位需整理并提交监理管理资料、工作记录、竣工验收资料等项目相关资料给甲方并通过甲方验收合格后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shaanxihuahai@163.com（出具弃标函并发送至代理机构邮箱）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3、支付进度以第八章拟签订采购合同文本为准。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需提交如下资格证明文件： ①提供2024年度经审计的财务报告（包括审计报告、资产负债表、利润表、现金流量表、所有者权益变动表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②提供响应文件提交截止时间前一年内已缴纳的至少一个月的纳税证明或完税证明（任意税种，个人所得税和印花税除外）纳税证明或完税证明上应有代收机构或税务机关的公章或业务专用章，依法免税的供应商应提供相应证明文件；③提供响应文件递交截止时间前一年内已缴存的至少一个月的社会保障资金缴存单据或社保机构开具的社会保险参保缴费情况证明，依法不需要缴纳社会保障资金的供应商应提供相应证明文件；④提供具有履行合同所必需的设备和专业技术能力的承诺；⑤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供应商具备行政主管部门颁发的工程监理综合资质或房屋建筑工程监理乙级及以上资质；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拟派项目总监理工程师须具房屋建筑工程专业国家注册监理工程师执业证书，且未担任其他在建工程项目的总监理工程师（提供承诺书）；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陕西省政府采购供应商拒绝政府采购领域商业贿赂承诺书 标的清单 报价表 技术和商务偏离表 响应函 合同条款响应</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磋商响应文件上法定代表人或其授权代表人按要求签字，加盖公章</w:t>
            </w:r>
          </w:p>
        </w:tc>
        <w:tc>
          <w:tcPr>
            <w:tcW w:type="dxa" w:w="1661"/>
          </w:tcPr>
          <w:p>
            <w:pPr>
              <w:pStyle w:val="null3"/>
            </w:pPr>
            <w:r>
              <w:rPr>
                <w:rFonts w:ascii="仿宋_GB2312" w:hAnsi="仿宋_GB2312" w:cs="仿宋_GB2312" w:eastAsia="仿宋_GB2312"/>
              </w:rPr>
              <w:t>响应文件封面 标的清单 报价表 技术和商务偏离表 响应函 合同条款响应</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标的清单 报价表 技术和商务偏离表 响应函 合同条款响应</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标的清单 报价表 技术和商务偏离表 响应函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标的清单 报价表 技术和商务偏离表 响应函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标的清单 报价表 技术和商务偏离表 响应函 合同条款响应</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监理范围、服务内容及依据</w:t>
            </w:r>
          </w:p>
        </w:tc>
        <w:tc>
          <w:tcPr>
            <w:tcW w:type="dxa" w:w="2492"/>
          </w:tcPr>
          <w:p>
            <w:pPr>
              <w:pStyle w:val="null3"/>
            </w:pPr>
            <w:r>
              <w:rPr>
                <w:rFonts w:ascii="仿宋_GB2312" w:hAnsi="仿宋_GB2312" w:cs="仿宋_GB2312" w:eastAsia="仿宋_GB2312"/>
              </w:rPr>
              <w:t>①监理范围、②服务内容、③监理依据。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1.5分，方案缺漏项或只有标题没有实质性内容的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重点、难点及解决对策</w:t>
            </w:r>
          </w:p>
        </w:tc>
        <w:tc>
          <w:tcPr>
            <w:tcW w:type="dxa" w:w="2492"/>
          </w:tcPr>
          <w:p>
            <w:pPr>
              <w:pStyle w:val="null3"/>
            </w:pPr>
            <w:r>
              <w:rPr>
                <w:rFonts w:ascii="仿宋_GB2312" w:hAnsi="仿宋_GB2312" w:cs="仿宋_GB2312" w:eastAsia="仿宋_GB2312"/>
              </w:rPr>
              <w:t>①对监理工作的重点、难点分析、②解决对策。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1.5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工作程序、方法和制度</w:t>
            </w:r>
          </w:p>
        </w:tc>
        <w:tc>
          <w:tcPr>
            <w:tcW w:type="dxa" w:w="2492"/>
          </w:tcPr>
          <w:p>
            <w:pPr>
              <w:pStyle w:val="null3"/>
            </w:pPr>
            <w:r>
              <w:rPr>
                <w:rFonts w:ascii="仿宋_GB2312" w:hAnsi="仿宋_GB2312" w:cs="仿宋_GB2312" w:eastAsia="仿宋_GB2312"/>
              </w:rPr>
              <w:t>①监理的工作程序、②监理的工作方法、③监理的工作制度。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1.5分，方案缺漏项或只有标题没有实质性内容的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合同和信息管理</w:t>
            </w:r>
          </w:p>
        </w:tc>
        <w:tc>
          <w:tcPr>
            <w:tcW w:type="dxa" w:w="2492"/>
          </w:tcPr>
          <w:p>
            <w:pPr>
              <w:pStyle w:val="null3"/>
            </w:pPr>
            <w:r>
              <w:rPr>
                <w:rFonts w:ascii="仿宋_GB2312" w:hAnsi="仿宋_GB2312" w:cs="仿宋_GB2312" w:eastAsia="仿宋_GB2312"/>
              </w:rPr>
              <w:t>①合同管理、②信息管理。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监理机构及人员配置</w:t>
            </w:r>
          </w:p>
        </w:tc>
        <w:tc>
          <w:tcPr>
            <w:tcW w:type="dxa" w:w="2492"/>
          </w:tcPr>
          <w:p>
            <w:pPr>
              <w:pStyle w:val="null3"/>
            </w:pPr>
            <w:r>
              <w:rPr>
                <w:rFonts w:ascii="仿宋_GB2312" w:hAnsi="仿宋_GB2312" w:cs="仿宋_GB2312" w:eastAsia="仿宋_GB2312"/>
              </w:rPr>
              <w:t>①机构设置、②组成人员、③岗位职责、业务素质。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1.5分，方案缺漏项或只有标题没有实质性内容的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团队配备人员</w:t>
            </w:r>
          </w:p>
        </w:tc>
        <w:tc>
          <w:tcPr>
            <w:tcW w:type="dxa" w:w="2492"/>
          </w:tcPr>
          <w:p>
            <w:pPr>
              <w:pStyle w:val="null3"/>
            </w:pPr>
            <w:r>
              <w:rPr>
                <w:rFonts w:ascii="仿宋_GB2312" w:hAnsi="仿宋_GB2312" w:cs="仿宋_GB2312" w:eastAsia="仿宋_GB2312"/>
              </w:rPr>
              <w:t>供应商拟派本项目人员配备满足第三章3.2.3人员配置要求的基础上，每增加一名专业监理工程师得2分，满分4分。提供加盖单位公章的工程类注册执业资格证或相关专业中级及以上职称证书扫描件或复印件。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拟投入试验检测设备配置</w:t>
            </w:r>
          </w:p>
        </w:tc>
        <w:tc>
          <w:tcPr>
            <w:tcW w:type="dxa" w:w="2492"/>
          </w:tcPr>
          <w:p>
            <w:pPr>
              <w:pStyle w:val="null3"/>
            </w:pPr>
            <w:r>
              <w:rPr>
                <w:rFonts w:ascii="仿宋_GB2312" w:hAnsi="仿宋_GB2312" w:cs="仿宋_GB2312" w:eastAsia="仿宋_GB2312"/>
              </w:rPr>
              <w:t>根据对拟投入试验检测设备配置响应程度。单项内容全面具体、科学合理、针对性和可行性强的得3分；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安全、进度、投资控制措施</w:t>
            </w:r>
          </w:p>
        </w:tc>
        <w:tc>
          <w:tcPr>
            <w:tcW w:type="dxa" w:w="2492"/>
          </w:tcPr>
          <w:p>
            <w:pPr>
              <w:pStyle w:val="null3"/>
            </w:pPr>
            <w:r>
              <w:rPr>
                <w:rFonts w:ascii="仿宋_GB2312" w:hAnsi="仿宋_GB2312" w:cs="仿宋_GB2312" w:eastAsia="仿宋_GB2312"/>
              </w:rPr>
              <w:t>①安全控制、②进度控制、③投资控制措施。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①监理服务质量保障措施、②质量问题处理方案。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根据对本项目理解程度提出有利于采购人或项目实施的合理化建议。 合理化建议全面具体、针对性强、科学可行的得3分； 合理化建议较为具体、针对性较好、细节待完善、基本可行的得2分； 合理化建议不全面、内容笼统、针对性差的得1分；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成果档案管理措施</w:t>
            </w:r>
          </w:p>
        </w:tc>
        <w:tc>
          <w:tcPr>
            <w:tcW w:type="dxa" w:w="2492"/>
          </w:tcPr>
          <w:p>
            <w:pPr>
              <w:pStyle w:val="null3"/>
            </w:pPr>
            <w:r>
              <w:rPr>
                <w:rFonts w:ascii="仿宋_GB2312" w:hAnsi="仿宋_GB2312" w:cs="仿宋_GB2312" w:eastAsia="仿宋_GB2312"/>
              </w:rPr>
              <w:t>根据对成果档案管理的响应程度。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针对本项目有严格的廉洁、保密措施承诺，承诺得2分，无承诺不得分。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具有2022年9月1日起至今（时间以合同签订时间为准）类似项目业绩，业绩以合同扫描件（复印件）为依据；每提供1个业绩得2分，最多得8分。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