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A85C2">
      <w:pPr>
        <w:shd w:val="clea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3D778867">
      <w:pPr>
        <w:keepNext w:val="0"/>
        <w:keepLines w:val="0"/>
        <w:widowControl/>
        <w:suppressLineNumbers w:val="0"/>
        <w:shd w:val="clear"/>
        <w:wordWrap w:val="0"/>
        <w:spacing w:before="0" w:beforeAutospacing="0" w:after="0" w:afterAutospacing="0" w:line="480" w:lineRule="atLeast"/>
        <w:ind w:left="0" w:right="0"/>
        <w:jc w:val="left"/>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（一）基本资格条件：符合《中华人民共和国政府采购法》第二十二条的规定，并提供以下资料：</w:t>
      </w:r>
    </w:p>
    <w:p w14:paraId="0DDCDB91">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bookmarkStart w:id="27" w:name="_GoBack"/>
      <w:bookmarkEnd w:id="27"/>
    </w:p>
    <w:p w14:paraId="280B2B53">
      <w:pPr>
        <w:pStyle w:val="4"/>
        <w:spacing w:line="480" w:lineRule="auto"/>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竞争性磋商文件第七章响应文件格式。不提供《基本资格条件承诺函》的供应商 需提交如下资格证明文件：①提供2024年度经审计的财务报告（包括审计报告、资产负债表、利润表、现金流量表、所有者权益变动表 （没有可不提供）及附注，成立时间至提交磋商响应文件截止时间不足一年的可提供成立后任意时段的资产负债表），或基本存款账户开户银行出具的资信证明及基本存款账户信息（以上两种形式的资料提供任何一种即可）；②提供响应文件提交截止时间前一年内已缴纳的至少一个月的纳税证明或完税证明（任意税种，个人所得税和印花税除外）纳税证明或完税证明上应有代收机构或税务机关的公章或业务专用章，依法免税的供应商应提供相应证明文件；③提供响应文件递交截止时间前一年内已缴存的至少一个月的社会保障资金缴存单据或社保机构开具的社会保险参保缴费情况证明，依法不需要缴纳社会保障资金的供应商应提供相应证明文件；④提供具有履行合同所必需的设备和专业技术能力的承诺；⑤参加政府采购活动前3年内，在经营活动中没有重大违法记录的书面声明。</w:t>
      </w:r>
    </w:p>
    <w:p w14:paraId="4C042C7C">
      <w:pPr>
        <w:pStyle w:val="4"/>
        <w:shd w:val="clea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（二）</w:t>
      </w:r>
      <w:r>
        <w:rPr>
          <w:rFonts w:hint="eastAsia" w:ascii="仿宋" w:hAnsi="仿宋" w:eastAsia="仿宋" w:cs="仿宋"/>
          <w:b/>
          <w:bCs/>
          <w:color w:val="auto"/>
          <w:sz w:val="24"/>
          <w:szCs w:val="24"/>
          <w:highlight w:val="none"/>
          <w:lang w:val="en-US" w:eastAsia="zh-CN"/>
        </w:rPr>
        <w:t>落实政府采购政策需满足的资格要求：</w:t>
      </w:r>
    </w:p>
    <w:p w14:paraId="46742EB4">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本合同包专门面向中小企业采购，供应商应为中小微企业或监狱企业或残疾人福利性单位</w:t>
      </w:r>
    </w:p>
    <w:p w14:paraId="5426999C">
      <w:pPr>
        <w:pStyle w:val="4"/>
        <w:shd w:val="clea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（二）特定资格条件：</w:t>
      </w:r>
    </w:p>
    <w:p w14:paraId="0FF1E482">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Hans"/>
        </w:rPr>
        <w:t>1、</w:t>
      </w:r>
      <w:r>
        <w:rPr>
          <w:rFonts w:hint="eastAsia" w:ascii="仿宋" w:hAnsi="仿宋" w:eastAsia="仿宋" w:cs="仿宋"/>
          <w:sz w:val="24"/>
          <w:szCs w:val="24"/>
          <w:highlight w:val="none"/>
          <w:lang w:val="en-US" w:eastAsia="zh-CN"/>
        </w:rPr>
        <w:t>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14434E81">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2、供应商具备行政主管部门颁发的工程监理综合资质或房屋建筑工程监理乙级及以上资质；</w:t>
      </w:r>
    </w:p>
    <w:p w14:paraId="5CB43BC5">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highlight w:val="none"/>
          <w:lang w:val="en-US" w:eastAsia="zh-CN"/>
        </w:rPr>
      </w:pPr>
      <w:r>
        <w:rPr>
          <w:rFonts w:hint="eastAsia" w:ascii="仿宋" w:hAnsi="仿宋" w:eastAsia="仿宋" w:cs="仿宋"/>
          <w:sz w:val="24"/>
          <w:szCs w:val="24"/>
          <w:highlight w:val="none"/>
          <w:lang w:val="en-US" w:eastAsia="zh-CN"/>
        </w:rPr>
        <w:t>3、拟派项目总监理工程师须具房屋建筑工程专业国家注册监理工程师执业证书，且未担任其他在建工程项目的总监理工程师（提供承诺书）；</w:t>
      </w:r>
    </w:p>
    <w:p w14:paraId="3D4F209E">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sz w:val="24"/>
          <w:highlight w:val="none"/>
          <w:lang w:val="en-US" w:eastAsia="zh-CN"/>
        </w:rPr>
      </w:pPr>
      <w:r>
        <w:rPr>
          <w:rFonts w:hint="eastAsia" w:ascii="仿宋" w:hAnsi="仿宋" w:eastAsia="仿宋" w:cs="仿宋"/>
          <w:sz w:val="24"/>
          <w:szCs w:val="24"/>
          <w:highlight w:val="none"/>
          <w:lang w:val="en-US" w:eastAsia="zh-CN"/>
        </w:rPr>
        <w:t>4、信用记录：供应商未被“信用中国”网站（www.creditchina.gov.cn）列入失信被执行人和重大税收违法失信主体，未被中国政府采购网（www.ccgp.gov.cn）列入政府采购严重违法失信行为记录名单。</w:t>
      </w:r>
      <w:r>
        <w:rPr>
          <w:rFonts w:hint="eastAsia" w:ascii="仿宋" w:hAnsi="仿宋" w:eastAsia="仿宋" w:cs="仿宋"/>
          <w:sz w:val="24"/>
          <w:highlight w:val="none"/>
          <w:lang w:val="en-US" w:eastAsia="zh-CN"/>
        </w:rPr>
        <w:t>（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1A08DD24">
      <w:pPr>
        <w:pStyle w:val="7"/>
        <w:spacing w:line="360" w:lineRule="auto"/>
        <w:ind w:firstLine="480" w:firstLineChars="200"/>
        <w:rPr>
          <w:rFonts w:hint="default"/>
          <w:highlight w:val="none"/>
          <w:lang w:val="en-US" w:eastAsia="zh-CN"/>
        </w:rPr>
      </w:pPr>
      <w:r>
        <w:rPr>
          <w:rFonts w:hint="eastAsia" w:ascii="仿宋" w:hAnsi="仿宋" w:eastAsia="仿宋" w:cs="仿宋"/>
          <w:sz w:val="24"/>
          <w:highlight w:val="none"/>
          <w:lang w:val="en-US" w:eastAsia="zh-CN"/>
        </w:rPr>
        <w:t>注：以上无给定格式的，格式自拟。</w:t>
      </w:r>
    </w:p>
    <w:p w14:paraId="3C8269C3">
      <w:pPr>
        <w:keepLines/>
        <w:pageBreakBefore/>
        <w:shd w:val="clear"/>
        <w:jc w:val="center"/>
        <w:outlineLvl w:val="1"/>
        <w:rPr>
          <w:rFonts w:hint="eastAsia" w:ascii="仿宋" w:hAnsi="仿宋" w:eastAsia="仿宋" w:cs="仿宋"/>
          <w:b/>
          <w:bCs/>
          <w:sz w:val="32"/>
          <w:szCs w:val="32"/>
          <w:highlight w:val="none"/>
        </w:rPr>
        <w:sectPr>
          <w:pgSz w:w="11906" w:h="16838"/>
          <w:pgMar w:top="1440" w:right="1800" w:bottom="1440" w:left="1800" w:header="851" w:footer="992" w:gutter="0"/>
          <w:cols w:space="425" w:num="1"/>
          <w:docGrid w:type="lines" w:linePitch="312" w:charSpace="0"/>
        </w:sectPr>
      </w:pPr>
      <w:bookmarkStart w:id="0" w:name="_Toc21748"/>
    </w:p>
    <w:p w14:paraId="403EEE23">
      <w:pPr>
        <w:keepLines/>
        <w:pageBreakBefore/>
        <w:spacing w:line="480" w:lineRule="auto"/>
        <w:jc w:val="center"/>
        <w:outlineLvl w:val="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color w:val="auto"/>
          <w:sz w:val="32"/>
          <w:szCs w:val="32"/>
          <w:lang w:val="en-US" w:eastAsia="zh-CN"/>
        </w:rPr>
        <w:t>基本资格条件承诺函</w:t>
      </w:r>
    </w:p>
    <w:p w14:paraId="775D5322">
      <w:pPr>
        <w:widowControl/>
        <w:wordWrap w:val="0"/>
        <w:spacing w:line="48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（采购代理机构名称）：</w:t>
      </w:r>
    </w:p>
    <w:p w14:paraId="18A856A1">
      <w:pPr>
        <w:widowControl/>
        <w:wordWrap w:val="0"/>
        <w:spacing w:line="480" w:lineRule="auto"/>
        <w:ind w:firstLine="720" w:firstLineChars="3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 xml:space="preserve">（投标人名称）郑重承诺： </w:t>
      </w:r>
    </w:p>
    <w:p w14:paraId="3F629CFE">
      <w:pPr>
        <w:widowControl/>
        <w:numPr>
          <w:ilvl w:val="0"/>
          <w:numId w:val="0"/>
        </w:numPr>
        <w:wordWrap w:val="0"/>
        <w:spacing w:line="48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SA"/>
        </w:rPr>
        <w:t>1.</w:t>
      </w:r>
      <w:r>
        <w:rPr>
          <w:rFonts w:hint="eastAsia" w:asciiTheme="minorEastAsia" w:hAnsiTheme="minorEastAsia" w:eastAsiaTheme="minorEastAsia" w:cstheme="minorEastAsia"/>
          <w:sz w:val="24"/>
          <w:szCs w:val="24"/>
        </w:rPr>
        <w:t>我方具有良好的商业信誉和健全的财务会计制度，具有履行合同所必需的设备和专业技术能力，具有依法缴纳税收和社会保障金的良好记录，参加本项目采购活动前三年内无重大违法活动记录。</w:t>
      </w:r>
    </w:p>
    <w:p w14:paraId="68F6895C">
      <w:pPr>
        <w:widowControl/>
        <w:numPr>
          <w:ilvl w:val="0"/>
          <w:numId w:val="0"/>
        </w:numPr>
        <w:wordWrap w:val="0"/>
        <w:spacing w:line="48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2.我方未列入在信用中国网站（www.creditchina.gov.cn）“失信被执行人”、“重大税收违法案件当事人名单”中，也未列入中国政府采购网（www.ccgp.gov.cn）“政府采购严重违法失信行为记录名单”中。</w:t>
      </w:r>
    </w:p>
    <w:p w14:paraId="18B2FAB5">
      <w:pPr>
        <w:widowControl/>
        <w:numPr>
          <w:ilvl w:val="0"/>
          <w:numId w:val="0"/>
        </w:numPr>
        <w:wordWrap w:val="0"/>
        <w:spacing w:line="48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3.我方在采购项目评审（评标）环节结束后，随时接受采购人、采购代理机构的检查验证，配合提供相关证明材料，证明符合《中华人民共和国政府采购法》规定的投标人基本资格条件。</w:t>
      </w:r>
    </w:p>
    <w:p w14:paraId="54FE9E31">
      <w:pPr>
        <w:widowControl/>
        <w:numPr>
          <w:ilvl w:val="0"/>
          <w:numId w:val="0"/>
        </w:numPr>
        <w:wordWrap w:val="0"/>
        <w:spacing w:line="48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我方对以上承诺负全部法律责任。</w:t>
      </w:r>
    </w:p>
    <w:p w14:paraId="601AF058">
      <w:pPr>
        <w:widowControl/>
        <w:numPr>
          <w:ilvl w:val="0"/>
          <w:numId w:val="0"/>
        </w:numPr>
        <w:wordWrap w:val="0"/>
        <w:spacing w:line="48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特此承诺。</w:t>
      </w:r>
    </w:p>
    <w:p w14:paraId="6F1780B1">
      <w:pPr>
        <w:jc w:val="center"/>
        <w:rPr>
          <w:rFonts w:hint="eastAsia" w:asciiTheme="minorEastAsia" w:hAnsiTheme="minorEastAsia" w:eastAsiaTheme="minorEastAsia" w:cstheme="minorEastAsia"/>
          <w:sz w:val="24"/>
          <w:szCs w:val="24"/>
        </w:rPr>
      </w:pPr>
    </w:p>
    <w:p w14:paraId="0EDC8743">
      <w:pPr>
        <w:jc w:val="center"/>
        <w:rPr>
          <w:rFonts w:hint="eastAsia" w:asciiTheme="minorEastAsia" w:hAnsiTheme="minorEastAsia" w:eastAsiaTheme="minorEastAsia" w:cstheme="minorEastAsia"/>
          <w:sz w:val="24"/>
          <w:szCs w:val="24"/>
        </w:rPr>
      </w:pPr>
    </w:p>
    <w:p w14:paraId="5CEFA920">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（供应商公章）</w:t>
      </w:r>
    </w:p>
    <w:p w14:paraId="4EC3127C">
      <w:pPr>
        <w:jc w:val="right"/>
        <w:rPr>
          <w:rFonts w:hint="eastAsia" w:asciiTheme="minorEastAsia" w:hAnsiTheme="minorEastAsia" w:eastAsiaTheme="minorEastAsia" w:cstheme="minorEastAsia"/>
          <w:sz w:val="24"/>
          <w:szCs w:val="24"/>
        </w:rPr>
      </w:pPr>
    </w:p>
    <w:p w14:paraId="365D888B">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年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月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p>
    <w:p w14:paraId="7A6CE0F8">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br w:type="page"/>
      </w:r>
    </w:p>
    <w:p w14:paraId="2076A231">
      <w:pPr>
        <w:pStyle w:val="4"/>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bCs/>
          <w:color w:val="auto"/>
          <w:sz w:val="22"/>
          <w:szCs w:val="22"/>
        </w:rPr>
        <w:t>供应商应对承诺内容的真实性、合法性、有效性负责。经调查核实为虚假承诺的， 视同为“提供虚假材料谋取中标、成交”的违法行为，依照《中华人民共和国政府采购法》等法律法规追究相应责任。不提供《基本资格条件承诺函》的供应商需提交如下资格证明文件：</w:t>
      </w:r>
    </w:p>
    <w:p w14:paraId="6FEC6B46">
      <w:pPr>
        <w:pStyle w:val="4"/>
        <w:spacing w:line="480" w:lineRule="auto"/>
        <w:ind w:firstLine="440" w:firstLineChars="200"/>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①</w:t>
      </w:r>
      <w:r>
        <w:rPr>
          <w:rFonts w:hint="eastAsia" w:asciiTheme="minorEastAsia" w:hAnsiTheme="minorEastAsia" w:eastAsiaTheme="minorEastAsia" w:cstheme="minorEastAsia"/>
          <w:b w:val="0"/>
          <w:bCs w:val="0"/>
          <w:color w:val="auto"/>
          <w:sz w:val="22"/>
          <w:szCs w:val="22"/>
          <w:lang w:val="en-US" w:eastAsia="zh-CN"/>
        </w:rPr>
        <w:t>提供2024年度经审计的财务报告（包括审计报告、资产负债表、利润表、现金流量表、所有者权益变动表 （没有可不提供）及附注，成立时间至提交磋商响应文件截止时间不足一年的可提供成立后任意时段的资产负债表），或基本存款账户开户银行出具的资信证明及基本存款账户信息（以上两种形式的资料提供任何一种即可）；</w:t>
      </w:r>
      <w:r>
        <w:rPr>
          <w:rFonts w:hint="eastAsia" w:asciiTheme="minorEastAsia" w:hAnsiTheme="minorEastAsia" w:eastAsiaTheme="minorEastAsia" w:cstheme="minorEastAsia"/>
          <w:b w:val="0"/>
          <w:bCs w:val="0"/>
          <w:color w:val="auto"/>
          <w:sz w:val="22"/>
          <w:szCs w:val="22"/>
        </w:rPr>
        <w:t>；</w:t>
      </w:r>
      <w:r>
        <w:rPr>
          <w:rFonts w:hint="eastAsia" w:asciiTheme="minorEastAsia" w:hAnsiTheme="minorEastAsia" w:eastAsiaTheme="minorEastAsia" w:cstheme="minorEastAsia"/>
          <w:b w:val="0"/>
          <w:bCs w:val="0"/>
          <w:color w:val="auto"/>
          <w:sz w:val="22"/>
          <w:szCs w:val="22"/>
        </w:rPr>
        <w:br w:type="textWrapping"/>
      </w:r>
      <w:r>
        <w:rPr>
          <w:rFonts w:hint="eastAsia" w:asciiTheme="minorEastAsia" w:hAnsiTheme="minorEastAsia" w:eastAsiaTheme="minorEastAsia" w:cstheme="minorEastAsia"/>
          <w:b w:val="0"/>
          <w:bCs w:val="0"/>
          <w:color w:val="auto"/>
          <w:sz w:val="22"/>
          <w:szCs w:val="22"/>
          <w:lang w:val="en-US" w:eastAsia="zh-CN"/>
        </w:rPr>
        <w:t xml:space="preserve">    </w:t>
      </w:r>
      <w:r>
        <w:rPr>
          <w:rFonts w:hint="eastAsia" w:asciiTheme="minorEastAsia" w:hAnsiTheme="minorEastAsia" w:eastAsiaTheme="minorEastAsia" w:cstheme="minorEastAsia"/>
          <w:b w:val="0"/>
          <w:bCs w:val="0"/>
          <w:color w:val="auto"/>
          <w:sz w:val="22"/>
          <w:szCs w:val="22"/>
        </w:rPr>
        <w:t>②提供响应文件提交截止时间前一年内已缴纳的至少一个月的纳税证明或完税证明</w:t>
      </w:r>
      <w:r>
        <w:rPr>
          <w:rFonts w:hint="eastAsia" w:asciiTheme="minorEastAsia" w:hAnsiTheme="minorEastAsia" w:eastAsiaTheme="minorEastAsia" w:cstheme="minorEastAsia"/>
          <w:b w:val="0"/>
          <w:bCs w:val="0"/>
          <w:color w:val="auto"/>
          <w:sz w:val="22"/>
          <w:szCs w:val="22"/>
          <w:lang w:eastAsia="zh-CN"/>
        </w:rPr>
        <w:t>（</w:t>
      </w:r>
      <w:r>
        <w:rPr>
          <w:rFonts w:hint="eastAsia" w:asciiTheme="minorEastAsia" w:hAnsiTheme="minorEastAsia" w:eastAsiaTheme="minorEastAsia" w:cstheme="minorEastAsia"/>
          <w:b w:val="0"/>
          <w:bCs w:val="0"/>
          <w:color w:val="auto"/>
          <w:sz w:val="22"/>
          <w:szCs w:val="22"/>
          <w:lang w:val="en-US" w:eastAsia="zh-CN"/>
        </w:rPr>
        <w:t>任意税种，个人所得税和印花税除外</w:t>
      </w:r>
      <w:r>
        <w:rPr>
          <w:rFonts w:hint="eastAsia" w:asciiTheme="minorEastAsia" w:hAnsiTheme="minorEastAsia" w:eastAsiaTheme="minorEastAsia" w:cstheme="minorEastAsia"/>
          <w:b w:val="0"/>
          <w:bCs w:val="0"/>
          <w:color w:val="auto"/>
          <w:sz w:val="22"/>
          <w:szCs w:val="22"/>
          <w:lang w:eastAsia="zh-CN"/>
        </w:rPr>
        <w:t>）</w:t>
      </w:r>
      <w:r>
        <w:rPr>
          <w:rFonts w:hint="eastAsia" w:asciiTheme="minorEastAsia" w:hAnsiTheme="minorEastAsia" w:eastAsiaTheme="minorEastAsia" w:cstheme="minorEastAsia"/>
          <w:b w:val="0"/>
          <w:bCs w:val="0"/>
          <w:color w:val="auto"/>
          <w:sz w:val="22"/>
          <w:szCs w:val="22"/>
        </w:rPr>
        <w:t>纳税证明或完税证明上应有代收机构或税务机关的公章或业务专用章，依法免税的供应商应提供相应证明文件</w:t>
      </w:r>
      <w:r>
        <w:rPr>
          <w:rFonts w:hint="eastAsia" w:asciiTheme="minorEastAsia" w:hAnsiTheme="minorEastAsia" w:eastAsiaTheme="minorEastAsia" w:cstheme="minorEastAsia"/>
          <w:b w:val="0"/>
          <w:bCs w:val="0"/>
          <w:color w:val="auto"/>
          <w:sz w:val="22"/>
          <w:szCs w:val="22"/>
        </w:rPr>
        <w:t>；</w:t>
      </w:r>
    </w:p>
    <w:p w14:paraId="6225549F">
      <w:pPr>
        <w:pStyle w:val="4"/>
        <w:spacing w:line="480" w:lineRule="auto"/>
        <w:ind w:firstLine="440" w:firstLineChars="200"/>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③</w:t>
      </w:r>
      <w:r>
        <w:rPr>
          <w:rFonts w:hint="eastAsia" w:asciiTheme="minorEastAsia" w:hAnsiTheme="minorEastAsia" w:eastAsiaTheme="minorEastAsia" w:cstheme="minorEastAsia"/>
          <w:b w:val="0"/>
          <w:bCs w:val="0"/>
          <w:color w:val="auto"/>
          <w:sz w:val="22"/>
          <w:szCs w:val="22"/>
          <w:lang w:val="en-US" w:eastAsia="zh-CN"/>
        </w:rPr>
        <w:t>提供响应文件递交截止时间前一年内已缴存的至少一个月的社会保障资金缴存单据或社保机构开具的社会保险参保缴费情况证明，依法不需要缴纳社会保障资金的供应商应提供相应证明文件</w:t>
      </w:r>
      <w:r>
        <w:rPr>
          <w:rFonts w:hint="eastAsia" w:asciiTheme="minorEastAsia" w:hAnsiTheme="minorEastAsia" w:eastAsiaTheme="minorEastAsia" w:cstheme="minorEastAsia"/>
          <w:b w:val="0"/>
          <w:bCs w:val="0"/>
          <w:color w:val="auto"/>
          <w:sz w:val="22"/>
          <w:szCs w:val="22"/>
        </w:rPr>
        <w:t>；</w:t>
      </w:r>
    </w:p>
    <w:p w14:paraId="63B3A222">
      <w:pPr>
        <w:pStyle w:val="4"/>
        <w:spacing w:line="480" w:lineRule="auto"/>
        <w:ind w:firstLine="440" w:firstLineChars="200"/>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④提供具有履行合同所必需的设备和专业技术能力的承诺；</w:t>
      </w:r>
    </w:p>
    <w:p w14:paraId="4C9607E7">
      <w:pPr>
        <w:pStyle w:val="4"/>
        <w:spacing w:line="480" w:lineRule="auto"/>
        <w:ind w:firstLine="440" w:firstLineChars="200"/>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⑤参加政府采购活动前3年内，在经营活动中没有重大违法记录的书面声明。</w:t>
      </w:r>
    </w:p>
    <w:p w14:paraId="388CC90A">
      <w:pPr>
        <w:keepLines/>
        <w:pageBreakBefore/>
        <w:shd w:val="clear"/>
        <w:jc w:val="center"/>
        <w:outlineLvl w:val="1"/>
        <w:rPr>
          <w:rFonts w:hint="eastAsia" w:ascii="仿宋" w:hAnsi="仿宋" w:eastAsia="仿宋" w:cs="仿宋"/>
          <w:b/>
          <w:bCs/>
          <w:sz w:val="32"/>
          <w:szCs w:val="32"/>
          <w:highlight w:val="none"/>
        </w:rPr>
        <w:sectPr>
          <w:pgSz w:w="11906" w:h="16838"/>
          <w:pgMar w:top="1440" w:right="1800" w:bottom="1440" w:left="1800" w:header="851" w:footer="992" w:gutter="0"/>
          <w:cols w:space="425" w:num="1"/>
          <w:docGrid w:type="lines" w:linePitch="312" w:charSpace="0"/>
        </w:sectPr>
      </w:pPr>
    </w:p>
    <w:p w14:paraId="2CE0AB2F">
      <w:pPr>
        <w:keepLines/>
        <w:pageBreakBefore/>
        <w:shd w:val="clear"/>
        <w:jc w:val="center"/>
        <w:outlineLvl w:val="1"/>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法定代表人身份证明</w:t>
      </w:r>
      <w:bookmarkEnd w:id="0"/>
    </w:p>
    <w:p w14:paraId="5D995A2F">
      <w:pPr>
        <w:shd w:val="clear"/>
        <w:spacing w:line="360" w:lineRule="auto"/>
        <w:ind w:firstLine="420" w:firstLineChars="200"/>
        <w:rPr>
          <w:rFonts w:hint="eastAsia" w:ascii="仿宋" w:hAnsi="仿宋" w:eastAsia="仿宋" w:cs="仿宋"/>
          <w:highlight w:val="none"/>
        </w:rPr>
      </w:pPr>
    </w:p>
    <w:p w14:paraId="41535AED">
      <w:pPr>
        <w:shd w:val="clea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56A28006">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70B12F1D">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6172D086">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5C821325">
      <w:pPr>
        <w:shd w:val="clea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38A68B66">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11E5F0F1">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3151ED05">
      <w:pPr>
        <w:shd w:val="clea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8"/>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1E49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FA22EFD">
            <w:pPr>
              <w:shd w:val="clear"/>
              <w:spacing w:line="480" w:lineRule="auto"/>
              <w:jc w:val="center"/>
              <w:rPr>
                <w:rFonts w:hint="eastAsia" w:ascii="仿宋" w:hAnsi="仿宋" w:eastAsia="仿宋" w:cs="仿宋"/>
                <w:color w:val="auto"/>
                <w:highlight w:val="none"/>
                <w:lang w:eastAsia="zh-CN"/>
              </w:rPr>
            </w:pPr>
          </w:p>
          <w:p w14:paraId="334B2FF3">
            <w:pPr>
              <w:shd w:val="clear"/>
              <w:spacing w:line="480" w:lineRule="auto"/>
              <w:jc w:val="center"/>
              <w:rPr>
                <w:rFonts w:hint="eastAsia" w:ascii="仿宋" w:hAnsi="仿宋" w:eastAsia="仿宋" w:cs="仿宋"/>
                <w:color w:val="auto"/>
                <w:highlight w:val="none"/>
                <w:lang w:eastAsia="zh-CN"/>
              </w:rPr>
            </w:pPr>
          </w:p>
          <w:p w14:paraId="0044CE18">
            <w:pPr>
              <w:shd w:val="clea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AE3988E">
            <w:pPr>
              <w:pStyle w:val="2"/>
              <w:shd w:val="clear"/>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1B3338D0">
            <w:pPr>
              <w:shd w:val="clear"/>
              <w:spacing w:line="480" w:lineRule="auto"/>
              <w:jc w:val="center"/>
              <w:rPr>
                <w:rFonts w:hint="eastAsia" w:ascii="仿宋" w:hAnsi="仿宋" w:eastAsia="仿宋" w:cs="仿宋"/>
                <w:color w:val="auto"/>
                <w:highlight w:val="none"/>
              </w:rPr>
            </w:pPr>
          </w:p>
          <w:p w14:paraId="6FE08A37">
            <w:pPr>
              <w:shd w:val="clear"/>
              <w:spacing w:line="480" w:lineRule="auto"/>
              <w:jc w:val="center"/>
              <w:rPr>
                <w:rFonts w:hint="eastAsia" w:ascii="仿宋" w:hAnsi="仿宋" w:eastAsia="仿宋" w:cs="仿宋"/>
                <w:color w:val="auto"/>
                <w:highlight w:val="none"/>
              </w:rPr>
            </w:pPr>
          </w:p>
        </w:tc>
      </w:tr>
    </w:tbl>
    <w:p w14:paraId="6A4F41FF">
      <w:pPr>
        <w:shd w:val="clear"/>
        <w:spacing w:line="480" w:lineRule="auto"/>
        <w:rPr>
          <w:rFonts w:hint="eastAsia" w:ascii="仿宋" w:hAnsi="仿宋" w:eastAsia="仿宋" w:cs="仿宋"/>
          <w:color w:val="auto"/>
          <w:highlight w:val="none"/>
        </w:rPr>
      </w:pPr>
    </w:p>
    <w:p w14:paraId="2213A172">
      <w:pPr>
        <w:shd w:val="clear"/>
        <w:rPr>
          <w:rFonts w:hint="eastAsia" w:ascii="仿宋" w:hAnsi="仿宋" w:eastAsia="仿宋" w:cs="仿宋"/>
          <w:color w:val="auto"/>
          <w:highlight w:val="none"/>
        </w:rPr>
      </w:pPr>
    </w:p>
    <w:p w14:paraId="21625FE6">
      <w:pPr>
        <w:shd w:val="clear"/>
        <w:rPr>
          <w:rFonts w:hint="eastAsia" w:ascii="仿宋" w:hAnsi="仿宋" w:eastAsia="仿宋" w:cs="仿宋"/>
          <w:color w:val="auto"/>
          <w:highlight w:val="none"/>
        </w:rPr>
      </w:pPr>
    </w:p>
    <w:p w14:paraId="74D64C5C">
      <w:pPr>
        <w:shd w:val="clear"/>
        <w:rPr>
          <w:rFonts w:hint="eastAsia" w:ascii="仿宋" w:hAnsi="仿宋" w:eastAsia="仿宋" w:cs="仿宋"/>
          <w:color w:val="auto"/>
          <w:highlight w:val="none"/>
        </w:rPr>
      </w:pPr>
    </w:p>
    <w:p w14:paraId="317F87C4">
      <w:pPr>
        <w:shd w:val="clear"/>
        <w:rPr>
          <w:rFonts w:hint="eastAsia" w:ascii="仿宋" w:hAnsi="仿宋" w:eastAsia="仿宋" w:cs="仿宋"/>
          <w:color w:val="auto"/>
          <w:highlight w:val="none"/>
        </w:rPr>
      </w:pPr>
    </w:p>
    <w:p w14:paraId="650C38DC">
      <w:pPr>
        <w:shd w:val="clear"/>
        <w:spacing w:line="360" w:lineRule="auto"/>
        <w:rPr>
          <w:rFonts w:hint="eastAsia" w:ascii="仿宋" w:hAnsi="仿宋" w:eastAsia="仿宋" w:cs="仿宋"/>
          <w:color w:val="auto"/>
          <w:highlight w:val="none"/>
        </w:rPr>
      </w:pPr>
    </w:p>
    <w:p w14:paraId="7394B16C">
      <w:pPr>
        <w:shd w:val="clear"/>
        <w:spacing w:line="360" w:lineRule="auto"/>
        <w:ind w:right="420"/>
        <w:rPr>
          <w:rFonts w:hint="eastAsia" w:ascii="仿宋" w:hAnsi="仿宋" w:eastAsia="仿宋" w:cs="仿宋"/>
          <w:color w:val="auto"/>
          <w:highlight w:val="none"/>
        </w:rPr>
      </w:pPr>
    </w:p>
    <w:p w14:paraId="2BA1E409">
      <w:pPr>
        <w:shd w:val="clear"/>
        <w:spacing w:line="360" w:lineRule="auto"/>
        <w:ind w:right="420"/>
        <w:rPr>
          <w:rFonts w:hint="eastAsia" w:ascii="仿宋" w:hAnsi="仿宋" w:eastAsia="仿宋" w:cs="仿宋"/>
          <w:color w:val="auto"/>
          <w:highlight w:val="none"/>
        </w:rPr>
      </w:pPr>
    </w:p>
    <w:p w14:paraId="22D2C69F">
      <w:pPr>
        <w:shd w:val="clear"/>
        <w:spacing w:line="360" w:lineRule="auto"/>
        <w:ind w:right="420"/>
        <w:rPr>
          <w:rFonts w:hint="eastAsia" w:ascii="仿宋" w:hAnsi="仿宋" w:eastAsia="仿宋" w:cs="仿宋"/>
          <w:color w:val="auto"/>
          <w:highlight w:val="none"/>
        </w:rPr>
      </w:pPr>
    </w:p>
    <w:p w14:paraId="2F431170">
      <w:pPr>
        <w:shd w:val="clear"/>
        <w:spacing w:line="360" w:lineRule="auto"/>
        <w:ind w:right="420"/>
        <w:rPr>
          <w:rFonts w:hint="eastAsia" w:ascii="仿宋" w:hAnsi="仿宋" w:eastAsia="仿宋" w:cs="仿宋"/>
          <w:color w:val="auto"/>
          <w:highlight w:val="none"/>
        </w:rPr>
      </w:pPr>
    </w:p>
    <w:p w14:paraId="679A9EB2">
      <w:pPr>
        <w:shd w:val="clea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33DB91B8">
      <w:pPr>
        <w:shd w:val="clea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7B772061">
      <w:pPr>
        <w:shd w:val="clear"/>
        <w:spacing w:line="500" w:lineRule="exact"/>
        <w:ind w:firstLine="422" w:firstLineChars="200"/>
        <w:rPr>
          <w:rFonts w:hint="eastAsia" w:ascii="仿宋" w:hAnsi="仿宋" w:eastAsia="仿宋" w:cs="仿宋"/>
          <w:b/>
          <w:bCs/>
          <w:color w:val="auto"/>
          <w:szCs w:val="24"/>
          <w:highlight w:val="none"/>
          <w:lang w:eastAsia="zh-CN"/>
        </w:rPr>
      </w:pPr>
    </w:p>
    <w:p w14:paraId="2DD7C336">
      <w:pPr>
        <w:pStyle w:val="2"/>
        <w:shd w:val="clear"/>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2BDA78CD">
      <w:pPr>
        <w:shd w:val="clea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br w:type="page"/>
      </w:r>
    </w:p>
    <w:p w14:paraId="2AA01247">
      <w:pPr>
        <w:shd w:val="clear"/>
        <w:spacing w:line="360" w:lineRule="auto"/>
        <w:ind w:firstLine="643" w:firstLineChars="200"/>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法人授权委托书</w:t>
      </w:r>
    </w:p>
    <w:p w14:paraId="586D4F87">
      <w:pPr>
        <w:shd w:val="clea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（姓名）</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系</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名称）的法定代表人，现委托</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（姓名）为我方代理人。代理人根据授权，以我方名义签署、澄清、说明、补正、递交、撤回、修改</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rPr>
        <w:t>（项目名称）</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、签订合同和处理有关事宜，其法律后果由我方承担。</w:t>
      </w:r>
    </w:p>
    <w:p w14:paraId="3E5F14AD">
      <w:pPr>
        <w:shd w:val="clea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代理人无转委托权。</w:t>
      </w:r>
    </w:p>
    <w:p w14:paraId="75660B62">
      <w:pPr>
        <w:shd w:val="clea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递交响应文件截止</w:t>
      </w:r>
      <w:r>
        <w:rPr>
          <w:rFonts w:hint="eastAsia" w:ascii="仿宋" w:hAnsi="仿宋" w:eastAsia="仿宋" w:cs="仿宋"/>
          <w:color w:val="auto"/>
          <w:sz w:val="24"/>
          <w:szCs w:val="24"/>
          <w:highlight w:val="none"/>
        </w:rPr>
        <w:t>之日起不少于90日历天</w:t>
      </w:r>
    </w:p>
    <w:p w14:paraId="058FC093">
      <w:pPr>
        <w:shd w:val="clea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bookmarkEnd w:id="1"/>
      <w:bookmarkEnd w:id="2"/>
    </w:p>
    <w:p w14:paraId="432B7D15">
      <w:pPr>
        <w:shd w:val="clear"/>
        <w:spacing w:line="360" w:lineRule="auto"/>
        <w:ind w:firstLine="480" w:firstLineChars="200"/>
        <w:rPr>
          <w:rFonts w:hint="eastAsia" w:ascii="仿宋" w:hAnsi="仿宋" w:eastAsia="仿宋" w:cs="仿宋"/>
          <w:sz w:val="24"/>
          <w:szCs w:val="24"/>
          <w:highlight w:val="none"/>
        </w:rPr>
      </w:pPr>
      <w:bookmarkStart w:id="3" w:name="_Toc214090948"/>
      <w:bookmarkStart w:id="4" w:name="_Toc201637980"/>
      <w:r>
        <w:rPr>
          <w:rFonts w:hint="eastAsia" w:ascii="仿宋" w:hAnsi="仿宋" w:eastAsia="仿宋" w:cs="仿宋"/>
          <w:sz w:val="24"/>
          <w:szCs w:val="24"/>
          <w:highlight w:val="none"/>
        </w:rPr>
        <w:t>职务：</w:t>
      </w:r>
      <w:bookmarkEnd w:id="3"/>
      <w:bookmarkEnd w:id="4"/>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职务：</w:t>
      </w:r>
    </w:p>
    <w:p w14:paraId="3B6A26FF">
      <w:pPr>
        <w:shd w:val="clear"/>
        <w:spacing w:line="360" w:lineRule="auto"/>
        <w:ind w:firstLine="480" w:firstLineChars="200"/>
        <w:rPr>
          <w:rFonts w:hint="eastAsia" w:ascii="仿宋" w:hAnsi="仿宋" w:eastAsia="仿宋" w:cs="仿宋"/>
          <w:sz w:val="24"/>
          <w:szCs w:val="24"/>
          <w:highlight w:val="none"/>
        </w:rPr>
      </w:pPr>
      <w:bookmarkStart w:id="5" w:name="_Toc214090949"/>
      <w:bookmarkStart w:id="6" w:name="_Toc201637981"/>
      <w:r>
        <w:rPr>
          <w:rFonts w:hint="eastAsia" w:ascii="仿宋" w:hAnsi="仿宋" w:eastAsia="仿宋" w:cs="仿宋"/>
          <w:sz w:val="24"/>
          <w:szCs w:val="24"/>
          <w:highlight w:val="none"/>
        </w:rPr>
        <w:t>身份证</w:t>
      </w:r>
      <w:r>
        <w:rPr>
          <w:rFonts w:hint="eastAsia" w:ascii="仿宋" w:hAnsi="仿宋" w:eastAsia="仿宋" w:cs="仿宋"/>
          <w:sz w:val="24"/>
          <w:szCs w:val="24"/>
          <w:highlight w:val="none"/>
          <w:lang w:val="en-US" w:eastAsia="zh-CN"/>
        </w:rPr>
        <w:t>号码</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身份证</w:t>
      </w:r>
      <w:r>
        <w:rPr>
          <w:rFonts w:hint="eastAsia" w:ascii="仿宋" w:hAnsi="仿宋" w:eastAsia="仿宋" w:cs="仿宋"/>
          <w:sz w:val="24"/>
          <w:szCs w:val="24"/>
          <w:highlight w:val="none"/>
          <w:lang w:val="en-US" w:eastAsia="zh-CN"/>
        </w:rPr>
        <w:t>号码</w:t>
      </w:r>
      <w:r>
        <w:rPr>
          <w:rFonts w:hint="eastAsia" w:ascii="仿宋" w:hAnsi="仿宋" w:eastAsia="仿宋" w:cs="仿宋"/>
          <w:sz w:val="24"/>
          <w:szCs w:val="24"/>
          <w:highlight w:val="none"/>
        </w:rPr>
        <w:t>：</w:t>
      </w:r>
      <w:bookmarkEnd w:id="5"/>
      <w:bookmarkEnd w:id="6"/>
    </w:p>
    <w:p w14:paraId="553972F7">
      <w:pPr>
        <w:shd w:val="clear"/>
        <w:spacing w:line="360" w:lineRule="auto"/>
        <w:rPr>
          <w:rFonts w:hint="eastAsia" w:ascii="仿宋" w:hAnsi="仿宋" w:eastAsia="仿宋" w:cs="仿宋"/>
          <w:sz w:val="24"/>
          <w:szCs w:val="24"/>
          <w:highlight w:val="none"/>
        </w:rPr>
      </w:pPr>
      <w:bookmarkStart w:id="7" w:name="_Toc201637982"/>
      <w:bookmarkStart w:id="8" w:name="_Toc214090950"/>
      <w:r>
        <w:rPr>
          <w:rFonts w:hint="eastAsia" w:ascii="仿宋" w:hAnsi="仿宋" w:eastAsia="仿宋" w:cs="仿宋"/>
          <w:sz w:val="24"/>
          <w:szCs w:val="24"/>
          <w:highlight w:val="none"/>
        </w:rPr>
        <w:t>附：</w:t>
      </w:r>
      <w:bookmarkEnd w:id="7"/>
      <w:bookmarkEnd w:id="8"/>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val="en-US" w:eastAsia="zh-CN"/>
        </w:rPr>
        <w:t>及代理人本单位证明（响应文件提交截止日前六个月内任意一个月养老保险缴纳证明）</w:t>
      </w:r>
      <w:r>
        <w:rPr>
          <w:rFonts w:hint="eastAsia" w:ascii="仿宋" w:hAnsi="仿宋" w:eastAsia="仿宋" w:cs="仿宋"/>
          <w:sz w:val="24"/>
          <w:szCs w:val="24"/>
          <w:highlight w:val="none"/>
        </w:rPr>
        <w:t>。</w:t>
      </w:r>
    </w:p>
    <w:tbl>
      <w:tblPr>
        <w:tblStyle w:val="8"/>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96D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B0E6E3">
            <w:pPr>
              <w:shd w:val="clear"/>
              <w:spacing w:line="360" w:lineRule="auto"/>
              <w:jc w:val="center"/>
              <w:rPr>
                <w:rFonts w:hint="eastAsia" w:ascii="仿宋" w:hAnsi="仿宋" w:eastAsia="仿宋" w:cs="仿宋"/>
                <w:sz w:val="24"/>
                <w:szCs w:val="24"/>
                <w:highlight w:val="none"/>
              </w:rPr>
            </w:pPr>
            <w:bookmarkStart w:id="9" w:name="_Toc214090951"/>
            <w:bookmarkStart w:id="10" w:name="_Toc201637983"/>
            <w:r>
              <w:rPr>
                <w:rFonts w:hint="eastAsia" w:ascii="仿宋" w:hAnsi="仿宋" w:eastAsia="仿宋" w:cs="仿宋"/>
                <w:sz w:val="24"/>
                <w:szCs w:val="24"/>
                <w:highlight w:val="none"/>
              </w:rPr>
              <w:t>法定代表人身份证复印件</w:t>
            </w:r>
            <w:bookmarkEnd w:id="9"/>
            <w:bookmarkEnd w:id="10"/>
          </w:p>
          <w:p w14:paraId="3BFFBB54">
            <w:pPr>
              <w:shd w:val="clear"/>
              <w:spacing w:line="360" w:lineRule="auto"/>
              <w:jc w:val="center"/>
              <w:rPr>
                <w:rFonts w:hint="eastAsia" w:ascii="仿宋" w:hAnsi="仿宋" w:eastAsia="仿宋" w:cs="仿宋"/>
                <w:sz w:val="24"/>
                <w:szCs w:val="24"/>
                <w:highlight w:val="none"/>
              </w:rPr>
            </w:pPr>
            <w:bookmarkStart w:id="11" w:name="_Toc214090952"/>
            <w:bookmarkStart w:id="12" w:name="_Toc201637984"/>
            <w:r>
              <w:rPr>
                <w:rFonts w:hint="eastAsia" w:ascii="仿宋" w:hAnsi="仿宋" w:eastAsia="仿宋" w:cs="仿宋"/>
                <w:sz w:val="24"/>
                <w:szCs w:val="24"/>
                <w:highlight w:val="none"/>
              </w:rPr>
              <w:t>（正面）</w:t>
            </w:r>
            <w:bookmarkEnd w:id="11"/>
            <w:bookmarkEnd w:id="12"/>
          </w:p>
        </w:tc>
        <w:tc>
          <w:tcPr>
            <w:tcW w:w="4649" w:type="dxa"/>
            <w:vAlign w:val="center"/>
          </w:tcPr>
          <w:p w14:paraId="59664E7F">
            <w:pPr>
              <w:shd w:val="clear"/>
              <w:spacing w:line="360" w:lineRule="auto"/>
              <w:jc w:val="center"/>
              <w:rPr>
                <w:rFonts w:hint="eastAsia" w:ascii="仿宋" w:hAnsi="仿宋" w:eastAsia="仿宋" w:cs="仿宋"/>
                <w:sz w:val="24"/>
                <w:szCs w:val="24"/>
                <w:highlight w:val="none"/>
              </w:rPr>
            </w:pPr>
            <w:bookmarkStart w:id="13" w:name="_Toc201637985"/>
            <w:bookmarkStart w:id="14" w:name="_Toc214090953"/>
            <w:r>
              <w:rPr>
                <w:rFonts w:hint="eastAsia" w:ascii="仿宋" w:hAnsi="仿宋" w:eastAsia="仿宋" w:cs="仿宋"/>
                <w:sz w:val="24"/>
                <w:szCs w:val="24"/>
                <w:highlight w:val="none"/>
                <w:lang w:eastAsia="zh-CN"/>
              </w:rPr>
              <w:t>代理人</w:t>
            </w:r>
            <w:r>
              <w:rPr>
                <w:rFonts w:hint="eastAsia" w:ascii="仿宋" w:hAnsi="仿宋" w:eastAsia="仿宋" w:cs="仿宋"/>
                <w:sz w:val="24"/>
                <w:szCs w:val="24"/>
                <w:highlight w:val="none"/>
              </w:rPr>
              <w:t>身份证复印件</w:t>
            </w:r>
            <w:bookmarkEnd w:id="13"/>
            <w:bookmarkEnd w:id="14"/>
          </w:p>
          <w:p w14:paraId="7A717914">
            <w:pPr>
              <w:shd w:val="clear"/>
              <w:spacing w:line="360" w:lineRule="auto"/>
              <w:jc w:val="center"/>
              <w:rPr>
                <w:rFonts w:hint="eastAsia" w:ascii="仿宋" w:hAnsi="仿宋" w:eastAsia="仿宋" w:cs="仿宋"/>
                <w:sz w:val="24"/>
                <w:szCs w:val="24"/>
                <w:highlight w:val="none"/>
              </w:rPr>
            </w:pPr>
            <w:bookmarkStart w:id="15" w:name="_Toc214090954"/>
            <w:bookmarkStart w:id="16" w:name="_Toc201637986"/>
            <w:r>
              <w:rPr>
                <w:rFonts w:hint="eastAsia" w:ascii="仿宋" w:hAnsi="仿宋" w:eastAsia="仿宋" w:cs="仿宋"/>
                <w:sz w:val="24"/>
                <w:szCs w:val="24"/>
                <w:highlight w:val="none"/>
              </w:rPr>
              <w:t>（正面）</w:t>
            </w:r>
            <w:bookmarkEnd w:id="15"/>
            <w:bookmarkEnd w:id="16"/>
          </w:p>
        </w:tc>
      </w:tr>
      <w:tr w14:paraId="475B0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50D4E3E6">
            <w:pPr>
              <w:shd w:val="clear"/>
              <w:spacing w:line="360" w:lineRule="auto"/>
              <w:jc w:val="center"/>
              <w:rPr>
                <w:rFonts w:hint="eastAsia" w:ascii="仿宋" w:hAnsi="仿宋" w:eastAsia="仿宋" w:cs="仿宋"/>
                <w:color w:val="auto"/>
                <w:sz w:val="24"/>
                <w:szCs w:val="24"/>
                <w:highlight w:val="none"/>
              </w:rPr>
            </w:pPr>
            <w:bookmarkStart w:id="17" w:name="_Toc201637987"/>
            <w:bookmarkStart w:id="18" w:name="_Toc214090955"/>
            <w:r>
              <w:rPr>
                <w:rFonts w:hint="eastAsia" w:ascii="仿宋" w:hAnsi="仿宋" w:eastAsia="仿宋" w:cs="仿宋"/>
                <w:color w:val="auto"/>
                <w:sz w:val="24"/>
                <w:szCs w:val="24"/>
                <w:highlight w:val="none"/>
              </w:rPr>
              <w:t>法定代表人身份证复印件</w:t>
            </w:r>
            <w:bookmarkEnd w:id="17"/>
            <w:bookmarkEnd w:id="18"/>
          </w:p>
          <w:p w14:paraId="14E6E8A9">
            <w:pPr>
              <w:shd w:val="clear"/>
              <w:spacing w:line="360" w:lineRule="auto"/>
              <w:jc w:val="center"/>
              <w:rPr>
                <w:rFonts w:hint="eastAsia" w:ascii="仿宋" w:hAnsi="仿宋" w:eastAsia="仿宋" w:cs="仿宋"/>
                <w:color w:val="auto"/>
                <w:sz w:val="24"/>
                <w:szCs w:val="24"/>
                <w:highlight w:val="none"/>
              </w:rPr>
            </w:pPr>
            <w:bookmarkStart w:id="19" w:name="_Toc201637988"/>
            <w:bookmarkStart w:id="20" w:name="_Toc214090956"/>
            <w:r>
              <w:rPr>
                <w:rFonts w:hint="eastAsia" w:ascii="仿宋" w:hAnsi="仿宋" w:eastAsia="仿宋" w:cs="仿宋"/>
                <w:color w:val="auto"/>
                <w:sz w:val="24"/>
                <w:szCs w:val="24"/>
                <w:highlight w:val="none"/>
              </w:rPr>
              <w:t>（反面）</w:t>
            </w:r>
            <w:bookmarkEnd w:id="19"/>
            <w:bookmarkEnd w:id="20"/>
          </w:p>
        </w:tc>
        <w:tc>
          <w:tcPr>
            <w:tcW w:w="4649" w:type="dxa"/>
            <w:vAlign w:val="center"/>
          </w:tcPr>
          <w:p w14:paraId="4057FE2E">
            <w:pPr>
              <w:shd w:val="clear"/>
              <w:spacing w:line="360" w:lineRule="auto"/>
              <w:jc w:val="center"/>
              <w:rPr>
                <w:rFonts w:hint="eastAsia" w:ascii="仿宋" w:hAnsi="仿宋" w:eastAsia="仿宋" w:cs="仿宋"/>
                <w:color w:val="auto"/>
                <w:sz w:val="24"/>
                <w:szCs w:val="24"/>
                <w:highlight w:val="none"/>
              </w:rPr>
            </w:pPr>
            <w:bookmarkStart w:id="21" w:name="_Toc201637989"/>
            <w:bookmarkStart w:id="22" w:name="_Toc214090957"/>
            <w:r>
              <w:rPr>
                <w:rFonts w:hint="eastAsia" w:ascii="仿宋" w:hAnsi="仿宋" w:eastAsia="仿宋" w:cs="仿宋"/>
                <w:color w:val="auto"/>
                <w:sz w:val="24"/>
                <w:szCs w:val="24"/>
                <w:highlight w:val="none"/>
                <w:lang w:eastAsia="zh-CN"/>
              </w:rPr>
              <w:t>代理人</w:t>
            </w:r>
            <w:r>
              <w:rPr>
                <w:rFonts w:hint="eastAsia" w:ascii="仿宋" w:hAnsi="仿宋" w:eastAsia="仿宋" w:cs="仿宋"/>
                <w:color w:val="auto"/>
                <w:sz w:val="24"/>
                <w:szCs w:val="24"/>
                <w:highlight w:val="none"/>
              </w:rPr>
              <w:t>身份证复印件</w:t>
            </w:r>
            <w:bookmarkEnd w:id="21"/>
            <w:bookmarkEnd w:id="22"/>
          </w:p>
          <w:p w14:paraId="5FA4868D">
            <w:pPr>
              <w:shd w:val="clear"/>
              <w:spacing w:line="360" w:lineRule="auto"/>
              <w:jc w:val="center"/>
              <w:rPr>
                <w:rFonts w:hint="eastAsia" w:ascii="仿宋" w:hAnsi="仿宋" w:eastAsia="仿宋" w:cs="仿宋"/>
                <w:color w:val="auto"/>
                <w:sz w:val="24"/>
                <w:szCs w:val="24"/>
                <w:highlight w:val="none"/>
              </w:rPr>
            </w:pPr>
            <w:bookmarkStart w:id="23" w:name="_Toc214090958"/>
            <w:bookmarkStart w:id="24" w:name="_Toc201637990"/>
            <w:r>
              <w:rPr>
                <w:rFonts w:hint="eastAsia" w:ascii="仿宋" w:hAnsi="仿宋" w:eastAsia="仿宋" w:cs="仿宋"/>
                <w:color w:val="auto"/>
                <w:sz w:val="24"/>
                <w:szCs w:val="24"/>
                <w:highlight w:val="none"/>
              </w:rPr>
              <w:t>（反面）</w:t>
            </w:r>
            <w:bookmarkEnd w:id="23"/>
            <w:bookmarkEnd w:id="24"/>
          </w:p>
        </w:tc>
      </w:tr>
    </w:tbl>
    <w:p w14:paraId="1E1D248D">
      <w:pPr>
        <w:shd w:val="clear"/>
        <w:spacing w:line="360" w:lineRule="auto"/>
        <w:rPr>
          <w:rFonts w:hint="eastAsia" w:ascii="仿宋" w:hAnsi="仿宋" w:eastAsia="仿宋" w:cs="仿宋"/>
          <w:color w:val="auto"/>
          <w:sz w:val="24"/>
          <w:szCs w:val="24"/>
          <w:highlight w:val="none"/>
        </w:rPr>
      </w:pPr>
    </w:p>
    <w:p w14:paraId="37404DF8">
      <w:pPr>
        <w:shd w:val="clea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77F73826">
      <w:pPr>
        <w:shd w:val="clear"/>
        <w:spacing w:line="480" w:lineRule="auto"/>
        <w:ind w:right="540" w:rightChars="257"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3428BC3D">
      <w:pPr>
        <w:shd w:val="clear"/>
        <w:rPr>
          <w:rFonts w:hint="eastAsia" w:ascii="仿宋" w:hAnsi="仿宋" w:eastAsia="仿宋" w:cs="仿宋"/>
          <w:b/>
          <w:sz w:val="36"/>
          <w:highlight w:val="none"/>
        </w:rPr>
      </w:pPr>
      <w:r>
        <w:rPr>
          <w:rFonts w:hint="eastAsia" w:ascii="仿宋" w:hAnsi="仿宋" w:eastAsia="仿宋" w:cs="仿宋"/>
          <w:color w:val="auto"/>
          <w:sz w:val="24"/>
          <w:szCs w:val="24"/>
          <w:highlight w:val="none"/>
          <w:lang w:eastAsia="zh-CN"/>
        </w:rPr>
        <w:t>注：法定代表人参加时无需提供。</w:t>
      </w:r>
    </w:p>
    <w:p w14:paraId="39FF8666">
      <w:pPr>
        <w:shd w:val="clea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25A0CCD1">
      <w:pPr>
        <w:keepNext w:val="0"/>
        <w:keepLines w:val="0"/>
        <w:pageBreakBefore w:val="0"/>
        <w:widowControl w:val="0"/>
        <w:numPr>
          <w:ilvl w:val="0"/>
          <w:numId w:val="0"/>
        </w:numPr>
        <w:shd w:val="clea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4"/>
          <w:szCs w:val="24"/>
          <w:highlight w:val="none"/>
          <w:lang w:val="en-US" w:eastAsia="zh-CN"/>
        </w:rPr>
      </w:pPr>
      <w:bookmarkStart w:id="25" w:name="_Toc10788"/>
      <w:r>
        <w:rPr>
          <w:rFonts w:hint="eastAsia" w:ascii="仿宋" w:hAnsi="仿宋" w:eastAsia="仿宋" w:cs="仿宋"/>
          <w:b/>
          <w:bCs/>
          <w:sz w:val="28"/>
          <w:szCs w:val="28"/>
          <w:highlight w:val="none"/>
          <w:lang w:val="en-US" w:eastAsia="zh-CN"/>
        </w:rPr>
        <w:t>具有履行合同所必需的设备和专业技术能力的承诺</w:t>
      </w:r>
      <w:bookmarkEnd w:id="25"/>
    </w:p>
    <w:p w14:paraId="181B50E0">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E1FD02D">
      <w:pPr>
        <w:shd w:val="clear"/>
        <w:spacing w:line="360" w:lineRule="auto"/>
        <w:rPr>
          <w:rFonts w:hint="eastAsia" w:ascii="仿宋" w:hAnsi="仿宋" w:eastAsia="仿宋" w:cs="仿宋"/>
          <w:spacing w:val="4"/>
          <w:sz w:val="24"/>
          <w:szCs w:val="24"/>
          <w:highlight w:val="none"/>
        </w:rPr>
      </w:pPr>
    </w:p>
    <w:p w14:paraId="5B71A48A">
      <w:pPr>
        <w:pStyle w:val="6"/>
        <w:keepNext w:val="0"/>
        <w:keepLines w:val="0"/>
        <w:pageBreakBefore w:val="0"/>
        <w:shd w:val="clear"/>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u w:val="single"/>
          <w:lang w:eastAsia="zh-CN"/>
        </w:rPr>
        <w:t>西安市未央区城市管理和综合执法局</w:t>
      </w:r>
      <w:r>
        <w:rPr>
          <w:rFonts w:hint="eastAsia" w:ascii="仿宋" w:hAnsi="仿宋" w:eastAsia="仿宋" w:cs="仿宋"/>
          <w:sz w:val="24"/>
          <w:szCs w:val="24"/>
          <w:highlight w:val="none"/>
          <w:u w:val="single"/>
        </w:rPr>
        <w:t>/陕西</w:t>
      </w:r>
      <w:r>
        <w:rPr>
          <w:rFonts w:hint="eastAsia" w:ascii="仿宋" w:hAnsi="仿宋" w:eastAsia="仿宋" w:cs="仿宋"/>
          <w:sz w:val="24"/>
          <w:szCs w:val="24"/>
          <w:highlight w:val="none"/>
          <w:u w:val="single"/>
          <w:lang w:val="en-US" w:eastAsia="zh-CN"/>
        </w:rPr>
        <w:t>华海国际</w:t>
      </w:r>
      <w:r>
        <w:rPr>
          <w:rFonts w:hint="eastAsia" w:ascii="仿宋" w:hAnsi="仿宋" w:eastAsia="仿宋" w:cs="仿宋"/>
          <w:sz w:val="24"/>
          <w:szCs w:val="24"/>
          <w:highlight w:val="none"/>
          <w:u w:val="single"/>
        </w:rPr>
        <w:t>项目管理有限公司</w:t>
      </w:r>
    </w:p>
    <w:p w14:paraId="7EC75CEB">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72A3273E">
      <w:pPr>
        <w:pStyle w:val="2"/>
        <w:keepNext w:val="0"/>
        <w:keepLines w:val="0"/>
        <w:pageBreakBefore w:val="0"/>
        <w:shd w:val="clear"/>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5069549A">
      <w:pPr>
        <w:keepNext w:val="0"/>
        <w:keepLines w:val="0"/>
        <w:pageBreakBefore w:val="0"/>
        <w:shd w:val="clear"/>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51019E1B">
      <w:pPr>
        <w:keepNext w:val="0"/>
        <w:keepLines w:val="0"/>
        <w:pageBreakBefore w:val="0"/>
        <w:widowControl w:val="0"/>
        <w:shd w:val="clear"/>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295A7A3B">
      <w:pPr>
        <w:keepNext w:val="0"/>
        <w:keepLines w:val="0"/>
        <w:pageBreakBefore w:val="0"/>
        <w:widowControl w:val="0"/>
        <w:shd w:val="clear"/>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81A5FE9">
      <w:pPr>
        <w:keepNext w:val="0"/>
        <w:keepLines w:val="0"/>
        <w:pageBreakBefore w:val="0"/>
        <w:widowControl w:val="0"/>
        <w:shd w:val="clear"/>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0764E26E">
      <w:pPr>
        <w:pStyle w:val="4"/>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lang w:eastAsia="zh-CN"/>
        </w:rPr>
        <w:br w:type="page"/>
      </w:r>
    </w:p>
    <w:p w14:paraId="5EE1F403">
      <w:pPr>
        <w:keepNext w:val="0"/>
        <w:keepLines w:val="0"/>
        <w:pageBreakBefore w:val="0"/>
        <w:widowControl/>
        <w:suppressLineNumbers w:val="0"/>
        <w:shd w:val="clear"/>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bookmarkStart w:id="26" w:name="_Toc829"/>
      <w:r>
        <w:rPr>
          <w:rFonts w:hint="eastAsia" w:ascii="仿宋" w:hAnsi="仿宋" w:eastAsia="仿宋" w:cs="仿宋"/>
          <w:b/>
          <w:bCs/>
          <w:sz w:val="28"/>
          <w:szCs w:val="28"/>
          <w:highlight w:val="none"/>
          <w:lang w:val="en-US" w:eastAsia="zh-CN"/>
        </w:rPr>
        <w:t>参加政府采购活动前3年内，在经营活动中没有重大违法记录的</w:t>
      </w:r>
      <w:bookmarkEnd w:id="26"/>
    </w:p>
    <w:p w14:paraId="4C830891">
      <w:pPr>
        <w:keepNext w:val="0"/>
        <w:keepLines w:val="0"/>
        <w:widowControl/>
        <w:suppressLineNumbers w:val="0"/>
        <w:shd w:val="clear"/>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45346632">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5F185925">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的供应商，在此郑重声明：</w:t>
      </w:r>
    </w:p>
    <w:p w14:paraId="3663BF6F">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1．在参加本次政府采购活动前3年内的经营活动中___（填“没有”或“有”）重大违法记录。</w:t>
      </w:r>
    </w:p>
    <w:p w14:paraId="616558BF">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2．我方___（填“未被列入”或“被列入”）失信被执行人名单。</w:t>
      </w:r>
    </w:p>
    <w:p w14:paraId="7117246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3．我方___（填“未被列入”或“被列入”）重大税收违法失信主体。</w:t>
      </w:r>
    </w:p>
    <w:p w14:paraId="57AE4818">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4．我方___（填“未被列入”或“被列入”）政府采购严重违法失信行为记录名单。</w:t>
      </w:r>
    </w:p>
    <w:p w14:paraId="0AE5AD15">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6B382CCF">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6B534AC8">
      <w:pPr>
        <w:shd w:val="clear" w:color="auto"/>
        <w:spacing w:line="560" w:lineRule="exact"/>
        <w:ind w:firstLine="480" w:firstLineChars="200"/>
        <w:rPr>
          <w:rFonts w:hint="eastAsia" w:ascii="仿宋" w:hAnsi="仿宋" w:eastAsia="仿宋" w:cs="仿宋"/>
          <w:sz w:val="24"/>
          <w:highlight w:val="none"/>
        </w:rPr>
      </w:pPr>
    </w:p>
    <w:p w14:paraId="30E4FE45">
      <w:pPr>
        <w:pStyle w:val="3"/>
        <w:shd w:val="clear" w:color="auto"/>
        <w:snapToGrid w:val="0"/>
        <w:spacing w:line="360" w:lineRule="auto"/>
        <w:jc w:val="righ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27F31C13">
      <w:pPr>
        <w:pStyle w:val="3"/>
        <w:shd w:val="clear" w:color="auto"/>
        <w:snapToGrid w:val="0"/>
        <w:spacing w:line="360" w:lineRule="auto"/>
        <w:jc w:val="righ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7EF862DA">
      <w:pPr>
        <w:pStyle w:val="3"/>
        <w:shd w:val="clear" w:color="auto"/>
        <w:snapToGrid w:val="0"/>
        <w:spacing w:line="360" w:lineRule="auto"/>
        <w:ind w:firstLine="4262" w:firstLineChars="1776"/>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681CCC18">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sz w:val="24"/>
          <w:highlight w:val="none"/>
        </w:rPr>
      </w:pPr>
    </w:p>
    <w:p w14:paraId="5411E20C">
      <w:pPr>
        <w:keepNext w:val="0"/>
        <w:keepLines w:val="0"/>
        <w:pageBreakBefore w:val="0"/>
        <w:widowControl w:val="0"/>
        <w:shd w:val="clear" w:color="auto"/>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提示：</w:t>
      </w:r>
    </w:p>
    <w:p w14:paraId="4D33207E">
      <w:pPr>
        <w:keepNext w:val="0"/>
        <w:keepLines w:val="0"/>
        <w:pageBreakBefore w:val="0"/>
        <w:widowControl w:val="0"/>
        <w:shd w:val="clear" w:color="auto"/>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4AC0FF0D">
      <w:pPr>
        <w:keepNext w:val="0"/>
        <w:keepLines w:val="0"/>
        <w:pageBreakBefore w:val="0"/>
        <w:widowControl w:val="0"/>
        <w:shd w:val="clear" w:color="auto"/>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1CB857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8F0E6D"/>
    <w:rsid w:val="048F0E6D"/>
    <w:rsid w:val="3B130C2E"/>
    <w:rsid w:val="6B677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Indent 2"/>
    <w:basedOn w:val="1"/>
    <w:qFormat/>
    <w:uiPriority w:val="99"/>
    <w:pPr>
      <w:spacing w:line="480" w:lineRule="exact"/>
      <w:ind w:left="-1"/>
    </w:pPr>
    <w:rPr>
      <w:sz w:val="24"/>
      <w:szCs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w:basedOn w:val="2"/>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2960</Words>
  <Characters>3092</Characters>
  <Lines>0</Lines>
  <Paragraphs>0</Paragraphs>
  <TotalTime>2</TotalTime>
  <ScaleCrop>false</ScaleCrop>
  <LinksUpToDate>false</LinksUpToDate>
  <CharactersWithSpaces>3607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2025-09-18T09:00:00Z</dcterms:created>
  <dc:creator>doit</dc:creator>
  <cp:lastModifiedBy>doit</cp:lastModifiedBy>
  <dcterms:modified xsi:type="dcterms:W3CDTF">2025-09-18T10:08:49Z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2AC20BC51E8F4863B09823799366AD0C_11</vt:lpwstr>
  </property>
  <property fmtid="{D5CDD505-2E9C-101B-9397-08002B2CF9AE}" pid="4" name="KSOTemplateDocerSaveRecord">
    <vt:lpwstr>eyJoZGlkIjoiYjE0ZDAzY2NjNjE3ZDQ0MmIxNDkwZmM2NDRlM2ZiNjkiLCJ1c2VySWQiOiI1NDQyNTk1OTUifQ==</vt:lpwstr>
  </property>
</Properties>
</file>