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版本号：HHGJZC2025-GK32620250925002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红旗村城改项目综合用地（置换地）文物发掘劳务服务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HHGJZC2025-GK326</w:t>
      </w:r>
      <w:r>
        <w:br/>
      </w:r>
      <w:r>
        <w:br/>
      </w:r>
      <w:r>
        <w:br/>
      </w:r>
    </w:p>
    <w:p>
      <w:pPr>
        <w:pStyle w:val="null3"/>
        <w:jc w:val="center"/>
        <w:outlineLvl w:val="2"/>
      </w:pPr>
      <w:r>
        <w:rPr>
          <w:rFonts w:ascii="仿宋_GB2312" w:hAnsi="仿宋_GB2312" w:cs="仿宋_GB2312" w:eastAsia="仿宋_GB2312"/>
          <w:sz w:val="28"/>
          <w:b/>
        </w:rPr>
        <w:t>西安市未央区谭家街道办事处</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西安市未央区谭家街道办事处</w:t>
      </w:r>
      <w:r>
        <w:rPr>
          <w:rFonts w:ascii="仿宋_GB2312" w:hAnsi="仿宋_GB2312" w:cs="仿宋_GB2312" w:eastAsia="仿宋_GB2312"/>
        </w:rPr>
        <w:t>委托，拟对</w:t>
      </w:r>
      <w:r>
        <w:rPr>
          <w:rFonts w:ascii="仿宋_GB2312" w:hAnsi="仿宋_GB2312" w:cs="仿宋_GB2312" w:eastAsia="仿宋_GB2312"/>
        </w:rPr>
        <w:t>红旗村城改项目综合用地（置换地）文物发掘劳务服务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HHGJZC2025-GK326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红旗村城改项目综合用地（置换地）文物发掘劳务服务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红旗村城改项目综合用地（置换地）文物发掘劳务服务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采购包1（红旗村城改项目综合用地（置换地）文物发掘劳务服务）：属于专门面向中小企业采购。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pPr>
        <w:pStyle w:val="null3"/>
      </w:pPr>
      <w:r>
        <w:rPr>
          <w:rFonts w:ascii="仿宋_GB2312" w:hAnsi="仿宋_GB2312" w:cs="仿宋_GB2312" w:eastAsia="仿宋_GB2312"/>
        </w:rPr>
        <w:t>2、信用信息：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西安市未央区谭家街道办事处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未央区渭滨街158号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029-81717331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029-89164609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西安市未央区财政局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采购包1：18,421,359.80元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印发的《招标代理服务收费管理暂行办法》（计价格〔2002〕1980号）和国家发展和改革委员会办公厅印发的《关于招标代理服务收费有关问题的通知》（发改办价格〔2003〕857号）的有关规定执行。 （2）中标单位在领取中标通知书前，须向采购代理机构一次性支付招标代理服务费。 （3）招标代理服务费账户 户名：陕西华海国际项目管理有限公司西安分公司开户行：中国建设银行股份有限公司西安凤城四路支行账号：61050190580000002095 转账备注：（项目名称/项目编号）招标代理服务费 请中标供应商按照要求将招标代理服务费转入以上指定账户，如因自身原因发生错误，产生的不利后果均由供应商自行承担。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西安市未央区谭家街道办事处</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西安市未央区谭家街道办事处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西安市未央区谭家街道办事处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达到国家现行行业验收规范“合格”标准且满足考古发掘技术单位要求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联系电话：029-86194609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红旗村城改项目综合用地（置换地）文物发掘劳务服务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18,421,359.80</w:t>
      </w:r>
    </w:p>
    <w:p>
      <w:pPr>
        <w:pStyle w:val="null3"/>
      </w:pPr>
      <w:r>
        <w:rPr>
          <w:rFonts w:ascii="仿宋_GB2312" w:hAnsi="仿宋_GB2312" w:cs="仿宋_GB2312" w:eastAsia="仿宋_GB2312"/>
        </w:rPr>
        <w:t>采购包最高限价（元）: 18,421,359.80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红旗村城改项目综合用地（置换地）文物发掘劳务服务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18,421,359.80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标的名称：红旗村城改项目综合用地（置换地）文物发掘劳务服务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工作要求</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、积极配合甲方选定的文物发掘保护技术单位开展土方服务工作。</w:t>
            </w:r>
          </w:p>
          <w:p>
            <w:pPr>
              <w:pStyle w:val="null3"/>
            </w:pPr>
            <w:r>
              <w:rPr>
                <w:rFonts w:ascii="仿宋_GB2312" w:hAnsi="仿宋_GB2312" w:cs="仿宋_GB2312" w:eastAsia="仿宋_GB2312"/>
                <w:sz w:val="24"/>
              </w:rPr>
              <w:t>2</w:t>
            </w:r>
            <w:r>
              <w:rPr>
                <w:rFonts w:ascii="仿宋_GB2312" w:hAnsi="仿宋_GB2312" w:cs="仿宋_GB2312" w:eastAsia="仿宋_GB2312"/>
                <w:sz w:val="24"/>
              </w:rPr>
              <w:t>、服从文物发掘保护技术单位统一指挥，紧密配合。</w:t>
            </w:r>
          </w:p>
          <w:p>
            <w:pPr>
              <w:pStyle w:val="null3"/>
            </w:pPr>
            <w:r>
              <w:rPr>
                <w:rFonts w:ascii="仿宋_GB2312" w:hAnsi="仿宋_GB2312" w:cs="仿宋_GB2312" w:eastAsia="仿宋_GB2312"/>
                <w:sz w:val="24"/>
              </w:rPr>
              <w:t>3</w:t>
            </w:r>
            <w:r>
              <w:rPr>
                <w:rFonts w:ascii="仿宋_GB2312" w:hAnsi="仿宋_GB2312" w:cs="仿宋_GB2312" w:eastAsia="仿宋_GB2312"/>
                <w:sz w:val="24"/>
              </w:rPr>
              <w:t>、合理使用机械或人工开挖。</w:t>
            </w:r>
          </w:p>
          <w:p>
            <w:pPr>
              <w:pStyle w:val="null3"/>
            </w:pPr>
            <w:r>
              <w:rPr>
                <w:rFonts w:ascii="仿宋_GB2312" w:hAnsi="仿宋_GB2312" w:cs="仿宋_GB2312" w:eastAsia="仿宋_GB2312"/>
                <w:sz w:val="24"/>
              </w:rPr>
              <w:t>4</w:t>
            </w:r>
            <w:r>
              <w:rPr>
                <w:rFonts w:ascii="仿宋_GB2312" w:hAnsi="仿宋_GB2312" w:cs="仿宋_GB2312" w:eastAsia="仿宋_GB2312"/>
                <w:sz w:val="24"/>
              </w:rPr>
              <w:t>、土方开挖时，必须按照基坑开挖的规范和放坡系数，发掘过程对墓坑（基 坑）安全技术妥善处理。</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、按照考古发掘及有关建设规程进行施工，确保施工安全。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验收标准</w:t>
            </w:r>
            <w:r>
              <w:rPr>
                <w:rFonts w:ascii="仿宋_GB2312" w:hAnsi="仿宋_GB2312" w:cs="仿宋_GB2312" w:eastAsia="仿宋_GB2312"/>
                <w:sz w:val="24"/>
                <w:color w:val="000000"/>
              </w:rPr>
              <w:t>：达到国家现行行业验收规范“合格”标准且满足文物发掘技术单位要求。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发掘区域：红旗村城改项目综合用地（置换地）实测范围1地块位于西安市未央区谭家街道，渭滨路以东，渭清南路以北（西南角CGCS2000坐标系：X：118831.790，Y：214094.593），实测范围1地块面积16979.42平方米（约合25.469亩）。实测范围2位于西安市未央区谭家街道，渭清南路以北，同建路以西（西南角CGCS2000坐标系：X：118783.221，Y：214434.831），实测范围2地块面积21859.44平方米（约合32.789亩）。实测范围3地块，位于西安市未央区，同建路以东，渭清路以北（西南角坐标：X=118778.050，Y=214611.709）。该项目用地范围呈四边形，地块面积24081.00平方米（36.121亩）。实测范围5-1、5-2、绿地1地块，位于西安市未央区，渭滨街以东，凤城八路以北（西南角坐标：X=117997.901，Y=214021.161），该项目用地范围呈不规则形，项目总面积42547.55平方米（63.821亩），其中实测范围5-1：22038.11平方米（折合33.057亩）；实测地块5-2:10226.72平方米（折合15.340亩）；绿地1:10282.72平方米（折合15.424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项目明细</w:t>
            </w:r>
          </w:p>
          <w:tbl>
            <w:tblPr>
              <w:tblInd w:type="dxa" w:w="135"/>
              <w:tblBorders>
                <w:top w:val="none" w:color="000000" w:sz="4"/>
                <w:left w:val="none" w:color="000000" w:sz="4"/>
                <w:bottom w:val="none" w:color="000000" w:sz="4"/>
                <w:right w:val="none" w:color="000000" w:sz="4"/>
                <w:insideH w:val="none"/>
                <w:insideV w:val="none"/>
              </w:tblBorders>
            </w:tblPr>
            <w:tblGrid>
              <w:gridCol w:w="327"/>
              <w:gridCol w:w="201"/>
              <w:gridCol w:w="163"/>
              <w:gridCol w:w="380"/>
              <w:gridCol w:w="228"/>
              <w:gridCol w:w="197"/>
              <w:gridCol w:w="213"/>
              <w:gridCol w:w="220"/>
              <w:gridCol w:w="213"/>
              <w:gridCol w:w="194"/>
              <w:gridCol w:w="186"/>
            </w:tblGrid>
            <w:tr>
              <w:tc>
                <w:tcPr>
                  <w:tcW w:type="dxa" w:w="2522"/>
                  <w:gridSpan w:val="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实测范围</w:t>
                  </w:r>
                  <w:r>
                    <w:rPr>
                      <w:rFonts w:ascii="仿宋_GB2312" w:hAnsi="仿宋_GB2312" w:cs="仿宋_GB2312" w:eastAsia="仿宋_GB2312"/>
                      <w:sz w:val="21"/>
                      <w:b/>
                      <w:color w:val="000000"/>
                    </w:rPr>
                    <w:t>1地块、实测范围2地块</w:t>
                  </w:r>
                </w:p>
              </w:tc>
            </w:tr>
            <w:tr>
              <w:tc>
                <w:tcPr>
                  <w:tcW w:type="dxa" w:w="3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地块</w:t>
                  </w:r>
                </w:p>
              </w:tc>
              <w:tc>
                <w:tcPr>
                  <w:tcW w:type="dxa" w:w="2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编号</w:t>
                  </w:r>
                </w:p>
              </w:tc>
              <w:tc>
                <w:tcPr>
                  <w:tcW w:type="dxa" w:w="1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名称</w:t>
                  </w:r>
                </w:p>
              </w:tc>
              <w:tc>
                <w:tcPr>
                  <w:tcW w:type="dxa" w:w="38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形制</w:t>
                  </w:r>
                </w:p>
              </w:tc>
              <w:tc>
                <w:tcPr>
                  <w:tcW w:type="dxa" w:w="63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墓道</w:t>
                  </w:r>
                </w:p>
              </w:tc>
              <w:tc>
                <w:tcPr>
                  <w:tcW w:type="dxa" w:w="62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墓室</w:t>
                  </w:r>
                </w:p>
              </w:tc>
              <w:tc>
                <w:tcPr>
                  <w:tcW w:type="dxa" w:w="1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备注</w:t>
                  </w:r>
                </w:p>
              </w:tc>
            </w:tr>
            <w:tr>
              <w:tc>
                <w:tcPr>
                  <w:tcW w:type="dxa" w:w="327"/>
                  <w:vMerge/>
                  <w:tcBorders>
                    <w:top w:val="single" w:color="000000" w:sz="4"/>
                    <w:left w:val="single" w:color="000000" w:sz="4"/>
                    <w:bottom w:val="single" w:color="000000" w:sz="4"/>
                    <w:right w:val="single" w:color="000000" w:sz="4"/>
                  </w:tcBorders>
                </w:tcPr>
                <w:p/>
              </w:tc>
              <w:tc>
                <w:tcPr>
                  <w:tcW w:type="dxa" w:w="201"/>
                  <w:vMerge/>
                  <w:tcBorders>
                    <w:top w:val="single" w:color="000000" w:sz="4"/>
                    <w:left w:val="none" w:color="000000" w:sz="4"/>
                    <w:bottom w:val="single" w:color="000000" w:sz="4"/>
                    <w:right w:val="single" w:color="000000" w:sz="4"/>
                  </w:tcBorders>
                </w:tcPr>
                <w:p/>
              </w:tc>
              <w:tc>
                <w:tcPr>
                  <w:tcW w:type="dxa" w:w="163"/>
                  <w:vMerge/>
                  <w:tcBorders>
                    <w:top w:val="single" w:color="000000" w:sz="4"/>
                    <w:left w:val="none" w:color="000000" w:sz="4"/>
                    <w:bottom w:val="single" w:color="000000" w:sz="4"/>
                    <w:right w:val="single" w:color="000000" w:sz="4"/>
                  </w:tcBorders>
                </w:tcPr>
                <w:p/>
              </w:tc>
              <w:tc>
                <w:tcPr>
                  <w:tcW w:type="dxa" w:w="380"/>
                  <w:vMerge/>
                  <w:tcBorders>
                    <w:top w:val="single" w:color="000000" w:sz="4"/>
                    <w:left w:val="none" w:color="000000" w:sz="4"/>
                    <w:bottom w:val="single" w:color="000000" w:sz="4"/>
                    <w:right w:val="single" w:color="000000" w:sz="4"/>
                  </w:tcBorders>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长（米）</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宽（米）</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深（米）</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长（米）</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宽（米）</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深（米）</w:t>
                  </w:r>
                </w:p>
              </w:tc>
              <w:tc>
                <w:tcPr>
                  <w:tcW w:type="dxa" w:w="186"/>
                  <w:vMerge/>
                  <w:tcBorders>
                    <w:top w:val="single" w:color="000000" w:sz="4"/>
                    <w:left w:val="none" w:color="000000" w:sz="4"/>
                    <w:bottom w:val="single" w:color="000000" w:sz="4"/>
                    <w:right w:val="single" w:color="000000" w:sz="4"/>
                  </w:tcBorders>
                </w:tc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实测范围</w:t>
                  </w:r>
                  <w:r>
                    <w:rPr>
                      <w:rFonts w:ascii="仿宋_GB2312" w:hAnsi="仿宋_GB2312" w:cs="仿宋_GB2312" w:eastAsia="仿宋_GB2312"/>
                      <w:sz w:val="16"/>
                      <w:b/>
                      <w:color w:val="000000"/>
                    </w:rPr>
                    <w:t>1地块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0.90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3.70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侧室</w:t>
                  </w: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3.90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甬道</w:t>
                  </w: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0.90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0.70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0.70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M9</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Y1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古窑</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实测范围</w:t>
                  </w:r>
                  <w:r>
                    <w:rPr>
                      <w:rFonts w:ascii="仿宋_GB2312" w:hAnsi="仿宋_GB2312" w:cs="仿宋_GB2312" w:eastAsia="仿宋_GB2312"/>
                      <w:sz w:val="16"/>
                      <w:b/>
                      <w:color w:val="000000"/>
                    </w:rPr>
                    <w:t>2地块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5.30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甬道</w:t>
                  </w: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斜坡墓道洞室墓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0.90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4.20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M5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古墓</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竖穴土坑墓</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Y1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古窑</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5.60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Y2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古窑</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3.60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0.15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Y3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古窑</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7.70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6.20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G1（解刨1）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古沟</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长条形</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解剖</w:t>
                  </w:r>
                  <w:r>
                    <w:rPr>
                      <w:rFonts w:ascii="仿宋_GB2312" w:hAnsi="仿宋_GB2312" w:cs="仿宋_GB2312" w:eastAsia="仿宋_GB2312"/>
                      <w:sz w:val="16"/>
                      <w:color w:val="000000"/>
                    </w:rPr>
                    <w:t>1</w:t>
                  </w: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G1（解刨2）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古沟</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长条形</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解剖</w:t>
                  </w:r>
                  <w:r>
                    <w:rPr>
                      <w:rFonts w:ascii="仿宋_GB2312" w:hAnsi="仿宋_GB2312" w:cs="仿宋_GB2312" w:eastAsia="仿宋_GB2312"/>
                      <w:sz w:val="16"/>
                      <w:color w:val="000000"/>
                    </w:rPr>
                    <w:t>2</w:t>
                  </w: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G1（解刨3）</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古沟</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长条形</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解剖</w:t>
                  </w:r>
                  <w:r>
                    <w:rPr>
                      <w:rFonts w:ascii="仿宋_GB2312" w:hAnsi="仿宋_GB2312" w:cs="仿宋_GB2312" w:eastAsia="仿宋_GB2312"/>
                      <w:sz w:val="16"/>
                      <w:color w:val="000000"/>
                    </w:rPr>
                    <w:t>3</w:t>
                  </w: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G1（解刨4）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古沟</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长条形</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解剖</w:t>
                  </w:r>
                  <w:r>
                    <w:rPr>
                      <w:rFonts w:ascii="仿宋_GB2312" w:hAnsi="仿宋_GB2312" w:cs="仿宋_GB2312" w:eastAsia="仿宋_GB2312"/>
                      <w:sz w:val="16"/>
                      <w:color w:val="000000"/>
                    </w:rPr>
                    <w:t>4</w:t>
                  </w:r>
                </w:p>
              </w:tc>
            </w:tr>
            <w:tr>
              <w:tc>
                <w:tcPr>
                  <w:tcW w:type="dxa" w:w="327"/>
                  <w:vMerge/>
                  <w:tcBorders>
                    <w:top w:val="none" w:color="000000" w:sz="4"/>
                    <w:left w:val="single" w:color="000000" w:sz="4"/>
                    <w:bottom w:val="single" w:color="000000" w:sz="4"/>
                    <w:right w:val="single" w:color="000000" w:sz="4"/>
                  </w:tcBorders>
                </w:tc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J1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古井</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0"/>
              <w:gridCol w:w="197"/>
              <w:gridCol w:w="212"/>
              <w:gridCol w:w="386"/>
              <w:gridCol w:w="251"/>
              <w:gridCol w:w="224"/>
              <w:gridCol w:w="228"/>
              <w:gridCol w:w="224"/>
              <w:gridCol w:w="228"/>
              <w:gridCol w:w="224"/>
              <w:gridCol w:w="181"/>
            </w:tblGrid>
            <w:tr>
              <w:tc>
                <w:tcPr>
                  <w:tcW w:type="dxa" w:w="17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2355"/>
                  <w:gridSpan w:val="1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实测范围</w:t>
                  </w:r>
                  <w:r>
                    <w:rPr>
                      <w:rFonts w:ascii="仿宋_GB2312" w:hAnsi="仿宋_GB2312" w:cs="仿宋_GB2312" w:eastAsia="仿宋_GB2312"/>
                      <w:sz w:val="21"/>
                      <w:b/>
                      <w:color w:val="000000"/>
                    </w:rPr>
                    <w:t>5-1、5-2、绿地1地块、实测范围3地块</w:t>
                  </w: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地块</w:t>
                  </w:r>
                </w:p>
              </w:tc>
              <w:tc>
                <w:tcPr>
                  <w:tcW w:type="dxa" w:w="1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编号</w:t>
                  </w:r>
                </w:p>
              </w:tc>
              <w:tc>
                <w:tcPr>
                  <w:tcW w:type="dxa" w:w="2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3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形制</w:t>
                  </w:r>
                </w:p>
              </w:tc>
              <w:tc>
                <w:tcPr>
                  <w:tcW w:type="dxa" w:w="703"/>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墓道</w:t>
                  </w:r>
                </w:p>
              </w:tc>
              <w:tc>
                <w:tcPr>
                  <w:tcW w:type="dxa" w:w="67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墓室</w:t>
                  </w:r>
                </w:p>
              </w:tc>
              <w:tc>
                <w:tcPr>
                  <w:tcW w:type="dxa" w:w="1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70"/>
                  <w:vMerge/>
                  <w:tcBorders>
                    <w:top w:val="none" w:color="000000" w:sz="4"/>
                    <w:left w:val="single" w:color="000000" w:sz="4"/>
                    <w:bottom w:val="single" w:color="000000" w:sz="4"/>
                    <w:right w:val="single" w:color="000000" w:sz="4"/>
                  </w:tcBorders>
                </w:tcPr>
                <w:p/>
              </w:tc>
              <w:tc>
                <w:tcPr>
                  <w:tcW w:type="dxa" w:w="197"/>
                  <w:vMerge/>
                  <w:tcBorders>
                    <w:top w:val="none" w:color="000000" w:sz="4"/>
                    <w:left w:val="none" w:color="000000" w:sz="4"/>
                    <w:bottom w:val="single" w:color="000000" w:sz="4"/>
                    <w:right w:val="single" w:color="000000" w:sz="4"/>
                  </w:tcBorders>
                </w:tcPr>
                <w:p/>
              </w:tc>
              <w:tc>
                <w:tcPr>
                  <w:tcW w:type="dxa" w:w="212"/>
                  <w:vMerge/>
                  <w:tcBorders>
                    <w:top w:val="single" w:color="000000" w:sz="4"/>
                    <w:left w:val="none" w:color="000000" w:sz="4"/>
                    <w:bottom w:val="single" w:color="000000" w:sz="4"/>
                    <w:right w:val="single" w:color="000000" w:sz="4"/>
                  </w:tcBorders>
                </w:tcPr>
                <w:p/>
              </w:tc>
              <w:tc>
                <w:tcPr>
                  <w:tcW w:type="dxa" w:w="386"/>
                  <w:vMerge/>
                  <w:tcBorders>
                    <w:top w:val="single" w:color="000000" w:sz="4"/>
                    <w:left w:val="none" w:color="000000" w:sz="4"/>
                    <w:bottom w:val="single" w:color="000000" w:sz="4"/>
                    <w:right w:val="single" w:color="000000" w:sz="4"/>
                  </w:tcBorders>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长（米）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宽（米）</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深（米）</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长（米）</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宽（米）</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深（米）</w:t>
                  </w:r>
                </w:p>
              </w:tc>
              <w:tc>
                <w:tcPr>
                  <w:tcW w:type="dxa" w:w="181"/>
                  <w:vMerge/>
                  <w:tcBorders>
                    <w:top w:val="single" w:color="000000" w:sz="4"/>
                    <w:left w:val="none" w:color="000000" w:sz="4"/>
                    <w:bottom w:val="single" w:color="000000" w:sz="4"/>
                    <w:right w:val="single" w:color="000000" w:sz="4"/>
                  </w:tcBorders>
                </w:tcP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实测范围</w:t>
                  </w:r>
                  <w:r>
                    <w:rPr>
                      <w:rFonts w:ascii="仿宋_GB2312" w:hAnsi="仿宋_GB2312" w:cs="仿宋_GB2312" w:eastAsia="仿宋_GB2312"/>
                      <w:sz w:val="18"/>
                      <w:b/>
                      <w:color w:val="000000"/>
                    </w:rPr>
                    <w:t>5-1、5-2、绿地1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东耳室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西耳室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前室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后室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耳室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前室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后室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耳室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耳室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M361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不规则形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L1（解刨1）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解剖</w:t>
                  </w:r>
                  <w:r>
                    <w:rPr>
                      <w:rFonts w:ascii="仿宋_GB2312" w:hAnsi="仿宋_GB2312" w:cs="仿宋_GB2312" w:eastAsia="仿宋_GB2312"/>
                      <w:sz w:val="18"/>
                      <w:b/>
                      <w:color w:val="000000"/>
                    </w:rPr>
                    <w:t>1</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L1（解刨2）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解剖</w:t>
                  </w:r>
                  <w:r>
                    <w:rPr>
                      <w:rFonts w:ascii="仿宋_GB2312" w:hAnsi="仿宋_GB2312" w:cs="仿宋_GB2312" w:eastAsia="仿宋_GB2312"/>
                      <w:sz w:val="18"/>
                      <w:b/>
                      <w:color w:val="000000"/>
                    </w:rPr>
                    <w:t>2</w:t>
                  </w:r>
                </w:p>
              </w:tc>
            </w:tr>
            <w:tr>
              <w:tc>
                <w:tcPr>
                  <w:tcW w:type="dxa" w:w="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实测范围</w:t>
                  </w:r>
                  <w:r>
                    <w:rPr>
                      <w:rFonts w:ascii="仿宋_GB2312" w:hAnsi="仿宋_GB2312" w:cs="仿宋_GB2312" w:eastAsia="仿宋_GB2312"/>
                      <w:sz w:val="18"/>
                      <w:b/>
                      <w:color w:val="000000"/>
                    </w:rPr>
                    <w:t>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北侧室</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M49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M59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M69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M79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M89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M99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M109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斜坡墓道土洞</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M113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古墓</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竖穴土圹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J19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J28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古井</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椭圆形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G1（解刨1）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解刨</w:t>
                  </w:r>
                  <w:r>
                    <w:rPr>
                      <w:rFonts w:ascii="仿宋_GB2312" w:hAnsi="仿宋_GB2312" w:cs="仿宋_GB2312" w:eastAsia="仿宋_GB2312"/>
                      <w:sz w:val="18"/>
                      <w:b/>
                      <w:color w:val="000000"/>
                    </w:rPr>
                    <w:t>1</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G1（解刨2）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解刨</w:t>
                  </w:r>
                  <w:r>
                    <w:rPr>
                      <w:rFonts w:ascii="仿宋_GB2312" w:hAnsi="仿宋_GB2312" w:cs="仿宋_GB2312" w:eastAsia="仿宋_GB2312"/>
                      <w:sz w:val="18"/>
                      <w:b/>
                      <w:color w:val="000000"/>
                    </w:rPr>
                    <w:t>2</w:t>
                  </w: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古沟</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长条状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H19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H29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H37</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H39</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0"/>
                  <w:vMerge/>
                  <w:tcBorders>
                    <w:top w:val="none" w:color="000000" w:sz="4"/>
                    <w:left w:val="single" w:color="000000" w:sz="4"/>
                    <w:bottom w:val="single" w:color="000000" w:sz="4"/>
                    <w:right w:val="single" w:color="000000" w:sz="4"/>
                  </w:tcBorders>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H45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灰坑</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满足采购人及文物发掘技术单位要求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满足采购人及文物发掘技术单位要求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符合国家及相关行业标准满足采购人及文物发掘技术单位要求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达到国家现行行业验收规范“合格”标准且满足考古发掘技术单位要求。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乙方田野工作结束后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乙方全部工作结束，项目验收合格，经财政部门评审后，以最终评审结果为准，甲方支付剩余价款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未按合同要求提供货物或服务不能满足要求，会同监督机构有权终止合同，对成交供应商违约行为进行追究，同时按政府采购法的有关规定进行相应的处罚。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shaanxihuahai@163.com）。否则，采购代理机构可以向财政部门反映情况并提供相应的佐证。供应商一年内累计出现三次该情形，将被监管部门记录为失信行为。 2、纸质版投标文件要求：中标供应商在领取中标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 3、 支付约定以第七章为准。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 3.提供具有履行合同所必需的设备和专业技术能力的承诺； 4.提供投标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5.提供投标文件提交截止时间前一年内已缴存的至少一个月的社会保障资金缴存单据或社保机构开具的社会保险参保缴费情况证明，依法不需要缴纳社会保障资金的供应商应提供相应证明文件；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报价明细表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资格证明文件 投标方案 投标函 中小企业声明函 残疾人福利性单位声明函 报价明细表 标的清单 陕西省政府采购供应商拒绝政府采购领域商业贿赂承诺书 投标文件封面 技术和商务偏离表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报价明细表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标的清单 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技术和商务偏离表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资格证明文件 投标方案 投标函 中小企业声明函 残疾人福利性单位声明函 报价明细表 标的清单 陕西省政府采购供应商拒绝政府采购领域商业贿赂承诺书 投标文件封面 技术和商务偏离表 合同条款响应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评审内容： ①劳务配合管理理念②服务目标③服务内容及工作流程④施工前的准备⑤施工过程中的注意事项。 评审标准： 以上内容专门针对本项目编制，切合本项目实际情况及实施要求，内容与要点相符、每个要点均有展开详细的阐述且能够适用于本项目的得2分，满分10分。 方案任意一项缺项扣2分，扣完为止； 方案任意一项内容有缺陷（缺陷是指：内容粗略、逻辑混乱、描述过于简单、与项目特点不匹配、凭空编造、逻辑漏洞、出现常识性错误、存在不可能实现的夸大情形、存在不适用项目实际情况的情形或只有标题没有实质性内容等）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 ①针对本项目的重点、难点分析②重点、难点问题有针对性的解决方案。 评审标准： 以上内容专门针对本项目编制，切合本项目实际情况及实施要求，内容与要点相符、每个要点均有展开详细的阐述且能够适用于本项目的得2分，满分4分。 方案任意一项缺项扣2分，扣完为止； 方案任意一项内容有缺陷（缺陷是指：内容粗略、逻辑混乱、描述过于简单、与项目特点不匹配、凭空编造、逻辑漏洞、出现常识性错误、存在不可能实现的夸大情形、存在不适用项目实际情况的情形或只有标题没有实质性内容等）扣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评审内容： ①文物发掘配合服务方案②进度计划安排③进度保障措施（包括但不限于配合发掘技术单位进度保障方案等）。 评审标准： 以上内容专门针对本项目编制，切合本项目实际情况及实施要求，内容与要点相符、每个要点均有展开详细的阐述且能够适用于本项目的得2分，满分6分。 方案任意一项缺项扣2分，扣完为止； 方案任意一项内容有缺陷（缺陷是指：内容粗略、逻辑混乱、描述过于简单、与项目特点不匹配、凭空编造、逻辑漏洞、出现常识性错误、存在不可能实现的夸大情形、存在不适用项目实际情况的情形或只有标题没有实质性内容等）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 ①文物安全保障措施②安全服务保障措施（包括外来人员排查管理保障、现场安全作业封闭管理、人员及施工现场的安全保障措施、安全警示教育以及在工作中突发的紧急安全措施）③环境保护措施（至少包括扬尘预防和治理措施）④服务质量保障措施。 评审标准： 以上内容专门针对本项目编制，切合本项目实际情况及实施要求，内容与要点相符、每个要点均有展开详细的阐述且能够适用于本项目的得2分，满分8分。 方案任意一项缺项扣2分，扣完为止； 方案任意一项内容有缺陷（缺陷是指：内容粗略、逻辑混乱、描述过于简单、与项目特点不匹配、凭空编造、逻辑漏洞、出现常识性错误、存在不可能实现的夸大情形、存在不适用项目实际情况的情形或只有标题没有实质性内容等）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投标人针对本项目拟派项目负责人具有相关项目经验的得2分，其他不得分。（须提供相关证明材料，证明材料上须能体现项目负责人姓名）。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评审内容： ①针对本项目设置的组织机构②人员配备清单（至少包括姓名、年龄、工作经验及专业等）③人员分工及职责划分。 评审标准： 以上内容专门针对本项目编制，切合本项目实际情况及实施要求，内容与要点相符、每个要点均有展开详细的阐述且能够适用于本项目的得2分，满分6分。 方案任意一项缺项扣2分，扣完为止； 方案任意一项内容有缺陷（缺陷是指：内容粗略、人员配备不合理、职责划分不明确、与项目特点不匹配、存在不适用项目实际情况的情形或只有标题没有实质性内容等）扣1分。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相关制度</w:t>
            </w:r>
          </w:p>
        </w:tc>
        <w:tc>
          <w:tcPr>
            <w:tcW w:type="dxa" w:w="2492"/>
          </w:tcPr>
          <w:p>
            <w:pPr>
              <w:pStyle w:val="null3"/>
            </w:pPr>
            <w:r>
              <w:rPr>
                <w:rFonts w:ascii="仿宋_GB2312" w:hAnsi="仿宋_GB2312" w:cs="仿宋_GB2312" w:eastAsia="仿宋_GB2312"/>
              </w:rPr>
              <w:t>评审内容： ①拟投入人员的操作管理制度②配合发掘管理制度③保密管理制度④人员管理制度。 评审标准： 以上内容专门针对本项目编制，切合本项目实际情况及实施要求，内容与要点相符、每个要点均有展开详细的阐述且能够适用于本项目的得2分，满分8分。 方案任意一项缺项扣2分，扣完为止； 方案任意一项内容有缺陷（缺陷是指：内容粗略、逻辑混乱、描述过于简单、与项目特点不匹配、凭空编造、逻辑漏洞、出现常识性错误、存在不可能实现的夸大情形、存在不适用项目实际情况的情形或只有标题没有实质性内容等）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评审内容： ①机械、设备清单及数量②确保设备在工作时间内正常运行的管理措施③设备维护方案。 评审标准： 以上内容专门针对本项目编制，切合本项目实际情况及实施要求，内容与要点相符、每个要点均有展开详细的阐述且能够适用于本项目的得2分，满分6分。 方案任意一项缺项扣2分，扣完为止； 方案任意一项内容有缺陷（缺陷是指：内容粗略、逻辑混乱、描述过于简单、与项目特点不匹配、凭空编造、逻辑漏洞、出现常识性错误、存在不可能实现的夸大情形、存在不适用项目实际情况的情形或只有标题没有实质性内容等）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①针对本项目治安及意外事故防范措施②针对本项目突发情况的应急预案（包括意外伤害、风险规避措施、大风、停电、雨雪、防汛防洪等）。 评审标准： 以上内容专门针对本项目编制，切合本项目实际情况及实施要求，内容与要点相符、每个要点均有展开详细的阐述且能够适用于本项目的得2分，满分4分。 方案任意一项缺项扣2分，扣完为止； 方案任意一项内容有缺陷（缺陷是指：内容粗略、逻辑混乱、描述过于简单、与项目特点不匹配、凭空编造、逻辑漏洞、出现常识性错误、存在不可能实现的夸大情形、存在不适用项目实际情况的情形或只有标题没有实质性内容等）扣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服务保障承诺</w:t>
            </w:r>
          </w:p>
        </w:tc>
        <w:tc>
          <w:tcPr>
            <w:tcW w:type="dxa" w:w="2492"/>
          </w:tcPr>
          <w:p>
            <w:pPr>
              <w:pStyle w:val="null3"/>
            </w:pPr>
            <w:r>
              <w:rPr>
                <w:rFonts w:ascii="仿宋_GB2312" w:hAnsi="仿宋_GB2312" w:cs="仿宋_GB2312" w:eastAsia="仿宋_GB2312"/>
              </w:rPr>
              <w:t>评审内容： ①项目质量承诺②项目进度承诺③后期服务承诺④人员到位情况承诺。 评审标准： 以上内容专门针对本项目编制，切合本项目实际情况及实施要求，内容与要点相符、每个要点均有展开详细的阐述且能够适用于本项目的得1分，满分4分。 方案任意一项缺项扣1分，扣完为止； 方案任意一项内容有缺陷（缺陷是指：内容粗略、逻辑混乱、描述过于简单、与项目特点不匹配、凭空编造、逻辑漏洞、出现常识性错误、存在不可能实现的夸大情形、存在不适用项目实际情况的情形或只有标题没有实质性内容等）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协调与配合措施</w:t>
            </w:r>
          </w:p>
        </w:tc>
        <w:tc>
          <w:tcPr>
            <w:tcW w:type="dxa" w:w="2492"/>
          </w:tcPr>
          <w:p>
            <w:pPr>
              <w:pStyle w:val="null3"/>
            </w:pPr>
            <w:r>
              <w:rPr>
                <w:rFonts w:ascii="仿宋_GB2312" w:hAnsi="仿宋_GB2312" w:cs="仿宋_GB2312" w:eastAsia="仿宋_GB2312"/>
              </w:rPr>
              <w:t>评审内容： ①有可调度人员储备措施②提供与相关部门协调保证及与考古发掘技术单位的配合措施。 评审标准： 以上内容专门针对本项目编制，切合本项目实际情况及实施要求，内容与要点相符、每个要点均有展开详细的阐述且能够适用于本项目的得2分，满分4分。 方案任意一项缺项扣2分，扣完为止； 方案任意一项内容有缺陷（缺陷是指：内容粗略、逻辑混乱、描述过于简单、与项目特点不匹配、凭空编造、逻辑漏洞、出现常识性错误、存在不可能实现的夸大情形、存在不适用项目实际情况的情形或只有标题没有实质性内容等）扣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供应商需提供2022年1月1日以来至今类似项目合同，每提供一份得2分，最高得8分，未提供不得分。 业绩证明（以合同签订时间落款时间为准，须在投标文件中附合同的扫描件加盖单位公章，原件备查）弄虚作假者，取消其中标资格。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满足招标文件要求且投标价格最低的为评标基准价，其价格分为满分。其他供应商的价格分统一按照下列公式计算：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