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版本号：QHY-2025-ZB-026.1B120260113001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2026年1-12月自然资源卫星监测核查(二次)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QHY-2025-ZB-026.1B1</w:t>
      </w:r>
      <w:r>
        <w:br/>
      </w:r>
      <w:r>
        <w:br/>
      </w:r>
      <w:r>
        <w:br/>
      </w:r>
    </w:p>
    <w:p>
      <w:pPr>
        <w:pStyle w:val="null3"/>
        <w:jc w:val="center"/>
        <w:outlineLvl w:val="2"/>
      </w:pPr>
      <w:r>
        <w:rPr>
          <w:rFonts w:ascii="仿宋_GB2312" w:hAnsi="仿宋_GB2312" w:cs="仿宋_GB2312" w:eastAsia="仿宋_GB2312"/>
          <w:sz w:val="28"/>
          <w:b/>
        </w:rPr>
        <w:t>西安市自然资源和规划局未央分局</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西安市自然资源和规划局未央分局</w:t>
      </w:r>
      <w:r>
        <w:rPr>
          <w:rFonts w:ascii="仿宋_GB2312" w:hAnsi="仿宋_GB2312" w:cs="仿宋_GB2312" w:eastAsia="仿宋_GB2312"/>
        </w:rPr>
        <w:t>委托，拟对</w:t>
      </w:r>
      <w:r>
        <w:rPr>
          <w:rFonts w:ascii="仿宋_GB2312" w:hAnsi="仿宋_GB2312" w:cs="仿宋_GB2312" w:eastAsia="仿宋_GB2312"/>
        </w:rPr>
        <w:t>2026年1-12月自然资源卫星监测核查(二次)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QHY-2025-ZB-026.1B1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2026年1-12月自然资源卫星监测核查(二次)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2026年1-12月自然资源卫星监测核查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采购包1（2026年1-12月自然资源卫星监测核查）：属于专门面向中小企业采购。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2、供应商资质：供应商具备国家测绘行政主管部门颁发的乙级及以上测绘资质证书（专业范围需包含摄影测量与遥感、地理信息系统工程）。</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陕西省西安市未央区龙首北路西段29号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韩永博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029-86258060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西安市自然资源和规划局未央分局</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联系人：史萌</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2026年1-12月自然资源卫星监测核查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2026年1-12月自然资源卫星监测核查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标的名称：2026年1-12月自然资源卫星监测核查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2026年1-12月自然资源卫星监测核查，</w:t>
            </w:r>
            <w:r>
              <w:rPr>
                <w:rFonts w:ascii="仿宋_GB2312" w:hAnsi="仿宋_GB2312" w:cs="仿宋_GB2312" w:eastAsia="仿宋_GB2312"/>
                <w:sz w:val="24"/>
              </w:rPr>
              <w:t>项目范围覆盖未央行政辖区，面积</w:t>
            </w:r>
            <w:r>
              <w:rPr>
                <w:rFonts w:ascii="仿宋_GB2312" w:hAnsi="仿宋_GB2312" w:cs="仿宋_GB2312" w:eastAsia="仿宋_GB2312"/>
                <w:sz w:val="24"/>
              </w:rPr>
              <w:t>110平方公里，以前期每两月一次、后期可调整的监测频次执行，构建卫片执法高压态势，实现违建、乱建、乱堆、乱放现象渐清零。</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随着社会经济的发展和城镇化进程的加快，国土资源合理利用监测和与自然生态环境保护工作已成为各级管理和业务部门的核心工作。为加强辖区土地利用监管手段，拟构建长效卫星影像监测管理机制，建立</w:t>
            </w:r>
            <w:r>
              <w:rPr>
                <w:rFonts w:ascii="仿宋_GB2312" w:hAnsi="仿宋_GB2312" w:cs="仿宋_GB2312" w:eastAsia="仿宋_GB2312"/>
                <w:sz w:val="24"/>
              </w:rPr>
              <w:t>“早发现早处理、高时效全方位、少投入成效大”的土地利用监测管理工作体系。以高精度卫星底图参考为基准，以高精度一体化处理技术为平台，以卫星影像为输入，借助卫星组网观测，多期正射影像图、高程数据的叠加对比，及时发现并提取20平米以上所有占地及层高1.0米以上土地利用变化图斑，生成图斑变化情况预警图，并对所有图斑进行编号，分析每个图斑的属性信息与变化情况，及时发现“两违”黄土裸露点、垃圾堆放点及沙场等四类当前急需解决的重点业务关注点。</w:t>
            </w:r>
          </w:p>
          <w:p>
            <w:pPr>
              <w:pStyle w:val="null3"/>
              <w:ind w:firstLine="480"/>
              <w:jc w:val="both"/>
            </w:pPr>
            <w:r>
              <w:rPr>
                <w:rFonts w:ascii="仿宋_GB2312" w:hAnsi="仿宋_GB2312" w:cs="仿宋_GB2312" w:eastAsia="仿宋_GB2312"/>
                <w:sz w:val="24"/>
              </w:rPr>
              <w:t>最终达到全区卫片执法工作</w:t>
            </w:r>
            <w:r>
              <w:rPr>
                <w:rFonts w:ascii="仿宋_GB2312" w:hAnsi="仿宋_GB2312" w:cs="仿宋_GB2312" w:eastAsia="仿宋_GB2312"/>
                <w:sz w:val="24"/>
              </w:rPr>
              <w:t>“卫星影像两个月一采集、10天一处理、两个月一上报”，进而缓解监管人力不足、降低总体治理经费投入、解决常规监察执法滞后、促进区域土地利用和生态环境保护，提升全区土地利用管理工作效率。</w:t>
            </w:r>
          </w:p>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针对全区范围对信息图斑进行6次外业调查，按照图斑范围进行举证拍照。图斑外业举证，严格按照调查有关法律、法规和国家相关测绘技术规范要求，做到“实事求是、类别明晰、判定准确”。外业按照图斑范围进行举证拍照，要求拍摄照片包括图斑全景照片、局部近景照片，一个图斑最少3张举证照片，图斑较大时必须保证举证照片内容可以从各角度覆盖全图斑。</w:t>
            </w:r>
          </w:p>
          <w:p>
            <w:pPr>
              <w:pStyle w:val="null3"/>
              <w:ind w:firstLine="480"/>
              <w:jc w:val="both"/>
            </w:pPr>
            <w:r>
              <w:rPr>
                <w:rFonts w:ascii="仿宋_GB2312" w:hAnsi="仿宋_GB2312" w:cs="仿宋_GB2312" w:eastAsia="仿宋_GB2312"/>
                <w:sz w:val="24"/>
              </w:rPr>
              <w:t>2、内业整理举证照片</w:t>
            </w:r>
          </w:p>
          <w:p>
            <w:pPr>
              <w:pStyle w:val="null3"/>
              <w:ind w:firstLine="480"/>
              <w:jc w:val="both"/>
            </w:pPr>
            <w:r>
              <w:rPr>
                <w:rFonts w:ascii="仿宋_GB2312" w:hAnsi="仿宋_GB2312" w:cs="仿宋_GB2312" w:eastAsia="仿宋_GB2312"/>
                <w:sz w:val="24"/>
              </w:rPr>
              <w:t>举证照片拍摄完成，整理举证照片，按照原始图斑编号进行整理，一个图斑一个文件夹。</w:t>
            </w:r>
          </w:p>
          <w:p>
            <w:pPr>
              <w:pStyle w:val="null3"/>
              <w:ind w:firstLine="480"/>
              <w:jc w:val="both"/>
            </w:pPr>
            <w:r>
              <w:rPr>
                <w:rFonts w:ascii="仿宋_GB2312" w:hAnsi="仿宋_GB2312" w:cs="仿宋_GB2312" w:eastAsia="仿宋_GB2312"/>
                <w:sz w:val="24"/>
              </w:rPr>
              <w:t>3、监理监测平台</w:t>
            </w:r>
          </w:p>
          <w:p>
            <w:pPr>
              <w:pStyle w:val="null3"/>
              <w:ind w:firstLine="480"/>
              <w:jc w:val="both"/>
            </w:pPr>
            <w:r>
              <w:rPr>
                <w:rFonts w:ascii="仿宋_GB2312" w:hAnsi="仿宋_GB2312" w:cs="仿宋_GB2312" w:eastAsia="仿宋_GB2312"/>
                <w:sz w:val="24"/>
              </w:rPr>
              <w:t>将每月遥感影像资料、变化图斑、举证照片等成果汇总上传监测平台。</w:t>
            </w:r>
          </w:p>
          <w:p>
            <w:pPr>
              <w:pStyle w:val="null3"/>
              <w:ind w:firstLine="480"/>
              <w:jc w:val="both"/>
            </w:pPr>
            <w:r>
              <w:rPr>
                <w:rFonts w:ascii="仿宋_GB2312" w:hAnsi="仿宋_GB2312" w:cs="仿宋_GB2312" w:eastAsia="仿宋_GB2312"/>
                <w:sz w:val="24"/>
              </w:rPr>
              <w:t>4、调查成果内容:一年6期调查两月一次</w:t>
            </w:r>
          </w:p>
          <w:p>
            <w:pPr>
              <w:pStyle w:val="null3"/>
              <w:jc w:val="both"/>
            </w:pPr>
            <w:r>
              <w:rPr>
                <w:rFonts w:ascii="仿宋_GB2312" w:hAnsi="仿宋_GB2312" w:cs="仿宋_GB2312" w:eastAsia="仿宋_GB2312"/>
                <w:sz w:val="24"/>
                <w:b/>
              </w:rPr>
              <w:t>四、成果要求</w:t>
            </w:r>
          </w:p>
          <w:p>
            <w:pPr>
              <w:pStyle w:val="null3"/>
              <w:ind w:firstLine="480"/>
              <w:jc w:val="both"/>
            </w:pPr>
            <w:r>
              <w:rPr>
                <w:rFonts w:ascii="仿宋_GB2312" w:hAnsi="仿宋_GB2312" w:cs="仿宋_GB2312" w:eastAsia="仿宋_GB2312"/>
                <w:sz w:val="24"/>
              </w:rPr>
              <w:t>按两个月一期成果完成后，次月进行提交。电子文件以光盘形式提交，相关纸质文件经甲方审核确认后，打印提交。</w:t>
            </w:r>
          </w:p>
          <w:p>
            <w:pPr>
              <w:pStyle w:val="null3"/>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自合同签订后一年。</w:t>
            </w:r>
          </w:p>
          <w:p>
            <w:pPr>
              <w:pStyle w:val="null3"/>
              <w:ind w:firstLine="480"/>
              <w:jc w:val="both"/>
            </w:pPr>
            <w:r>
              <w:rPr>
                <w:rFonts w:ascii="仿宋_GB2312" w:hAnsi="仿宋_GB2312" w:cs="仿宋_GB2312" w:eastAsia="仿宋_GB2312"/>
                <w:sz w:val="24"/>
              </w:rPr>
              <w:t>（二）服务地点</w:t>
            </w:r>
          </w:p>
          <w:p>
            <w:pPr>
              <w:pStyle w:val="null3"/>
              <w:ind w:firstLine="480"/>
              <w:jc w:val="both"/>
            </w:pPr>
            <w:r>
              <w:rPr>
                <w:rFonts w:ascii="仿宋_GB2312" w:hAnsi="仿宋_GB2312" w:cs="仿宋_GB2312" w:eastAsia="仿宋_GB2312"/>
                <w:sz w:val="24"/>
              </w:rPr>
              <w:t>未央区</w:t>
            </w:r>
          </w:p>
          <w:p>
            <w:pPr>
              <w:pStyle w:val="null3"/>
              <w:ind w:firstLine="480"/>
              <w:jc w:val="both"/>
            </w:pPr>
            <w:r>
              <w:rPr>
                <w:rFonts w:ascii="仿宋_GB2312" w:hAnsi="仿宋_GB2312" w:cs="仿宋_GB2312" w:eastAsia="仿宋_GB2312"/>
                <w:sz w:val="24"/>
              </w:rPr>
              <w:t>（三）款项结算</w:t>
            </w:r>
          </w:p>
          <w:p>
            <w:pPr>
              <w:pStyle w:val="null3"/>
              <w:ind w:firstLine="480"/>
              <w:jc w:val="both"/>
            </w:pPr>
            <w:r>
              <w:rPr>
                <w:rFonts w:ascii="仿宋_GB2312" w:hAnsi="仿宋_GB2312" w:cs="仿宋_GB2312" w:eastAsia="仿宋_GB2312"/>
                <w:sz w:val="24"/>
              </w:rPr>
              <w:t>1、合同签订生效且乙方调查工作正式启动后，达到付款条件起30日内，支付合同总金额的70.00%。</w:t>
            </w:r>
          </w:p>
          <w:p>
            <w:pPr>
              <w:pStyle w:val="null3"/>
            </w:pPr>
            <w:r>
              <w:rPr>
                <w:rFonts w:ascii="仿宋_GB2312" w:hAnsi="仿宋_GB2312" w:cs="仿宋_GB2312" w:eastAsia="仿宋_GB2312"/>
                <w:sz w:val="24"/>
              </w:rPr>
              <w:t xml:space="preserve">  2、乙方完成本合同全部约定服务事项，并向甲方提供全部服务资料并经甲方验收合格后，达到付款条件起30日内，支付合同总金额的30.00%。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合同签订生效且乙方调查工作正式启动后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乙方完成本合同全部约定服务事项，并向甲方提供全部服务资料并经甲方验收合格后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供应商具备国家测绘行政主管部门颁发的乙级及以上测绘资质证书（专业范围需包含摄影测量与遥感、地理信息系统工程）。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根据供应商提供的①项目前期资料收集、分析；②项目区域现状及问题分析；③工作目标；④工作进度计划；⑤工作流程；⑥编制成果等。 评审依据：每一项内容描述详细，切实可行符合项目实际内容得3分，合计得18分。内容①～⑥项任意一项缺项扣3分，扣完为止；内容①～⑥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根据供应商提供的①项目前期控制质量保证措施；②项目实施过程质量保证措施；③项目成果质量保证措施等方面进行综合评分。 评审依据：每一项内容描述详细，切实可行符合项目实际内容得3分，合计得9分。内容①～③项任意一项缺项扣3分，扣完为止；内容①～③项每出现一项内容缺陷（缺陷是指：内容不详细具体、条理不清晰、描述过于简单、与项目特点不匹配、凭空编造、出现常识性错误、不可能实现的夸大情形、存在不适用项目实际情况的情形等）扣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1、拟派项目负责人具有测绘专业高级职称证书的；计2分；其他不计分； 2、拟派项目人员（除项目负责人外）具备中级或以上规划、测绘专业职称证书每人计0.5分，计满8分为止。 注：以上内容须提供拟派人员的有效证明材料（含身份证、相关证书,且为本单位人员，并提供相关证明），未提供证明材料或提供不完整的均不计分。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供应商针对本项目提供相应的设备并说明拟投入设备的规格型号或技术指标等内容。 对供应商拟投入本项目的设备数量进行评审（需提供购置发票或采购合同或租赁合同），提供15个（含）以上得6分，10-15个得4分，5-10个（含）得2分，5个（含）以下得1分；未提供不得分。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数据管理</w:t>
            </w:r>
          </w:p>
        </w:tc>
        <w:tc>
          <w:tcPr>
            <w:tcW w:type="dxa" w:w="2492"/>
          </w:tcPr>
          <w:p>
            <w:pPr>
              <w:pStyle w:val="null3"/>
            </w:pPr>
            <w:r>
              <w:rPr>
                <w:rFonts w:ascii="仿宋_GB2312" w:hAnsi="仿宋_GB2312" w:cs="仿宋_GB2312" w:eastAsia="仿宋_GB2312"/>
              </w:rPr>
              <w:t>根据供应商提供的①数据资料管理制度；②数据资料管理保存措施；③数据整理措施等方面进行综合评分。 评审依据：每一项内容描述详细，切实可行符合项目实际内容得2分，合计得6分。内容①～③项任意一项缺项扣2分，扣完为止；内容①～③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根据供应商提供的①保密承诺和相关措施；②档案管理制度；③数据安全保密措施等方面进行综合评分。 评审依据：每一项内容描述详细，切实可行符合项目实际内容得2分，合计得6分。内容①～③项任意一项缺项扣2分，扣完为止；内容①～③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根据供应商提供的①重难点分析；②合理化建议；③应急措施。 评审依据：每一项内容描述详细，切实可行符合项目实际内容得2分，合计得6分。内容①～③项任意一项缺项扣2分，扣完为止；内容①～③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针对供应商提供的①售后服务流程；②售后服务机构与人员配置；③售后服务范围期限；④服务响应计划；⑤服务管理及质量保证等方面进行综合评分。 评审依据：每一项内容描述详细，切实可行符合项目实际内容得1分，合计得5分。内容①～⑤项任意一项缺项扣1分，扣完为止；内容①～⑤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具备提供本项目所需服务的能力，提供近年（2022年1月1日起至今）已完成的类似业绩合同为准，提供一个业绩计2分，计满4分为止。 注:未提供或未盖章或不清晰无法判断的不计分。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详见附件：供应商认为有必要说明的其它内容或资料.docx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