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版本号：SXLX25-01-112Z(F)20260105001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二府庄城改安置楼人防工程项目检测服务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SXLX25-01-112Z(F)</w:t>
      </w:r>
      <w:r>
        <w:br/>
      </w:r>
      <w:r>
        <w:br/>
      </w:r>
      <w:r>
        <w:br/>
      </w:r>
    </w:p>
    <w:p>
      <w:pPr>
        <w:pStyle w:val="null3"/>
        <w:jc w:val="center"/>
        <w:outlineLvl w:val="2"/>
      </w:pPr>
      <w:r>
        <w:rPr>
          <w:rFonts w:ascii="仿宋_GB2312" w:hAnsi="仿宋_GB2312" w:cs="仿宋_GB2312" w:eastAsia="仿宋_GB2312"/>
          <w:sz w:val="28"/>
          <w:b/>
        </w:rPr>
        <w:t>西安市未央区张家堡街道办事处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西安市未央区张家堡街道办事处</w:t>
      </w:r>
      <w:r>
        <w:rPr>
          <w:rFonts w:ascii="仿宋_GB2312" w:hAnsi="仿宋_GB2312" w:cs="仿宋_GB2312" w:eastAsia="仿宋_GB2312"/>
        </w:rPr>
        <w:t>委托，拟对</w:t>
      </w:r>
      <w:r>
        <w:rPr>
          <w:rFonts w:ascii="仿宋_GB2312" w:hAnsi="仿宋_GB2312" w:cs="仿宋_GB2312" w:eastAsia="仿宋_GB2312"/>
        </w:rPr>
        <w:t>二府庄城改安置楼人防工程项目检测服务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SXLX25-01-112Z(F)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二府庄城改安置楼人防工程项目检测服务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国家及地方有关法律法规的规定，按照《人民防空工程防护设备产品质量检测与施工验收标准》《人民防空工程施工及验收规范》《人民防空工程防护设备试验检测与质量检测标准》等要求，对西安市未央区二府庄城改安置楼工程项目开展人防工程检测服务(二府庄城改安置楼人防工程项目一、二期共五个人防单元(一期总人防检测面积约:4386.75㎡、二期建筑面积约:474.38㎡，掩蔽面积约: 320㎡。)，具体服务内容包含但不限于人防工程防护设备检测、人防主体结构检测、人防工程平战转换预案编写、人防标识标牌检测、检测前期配合等服务内容，要求各项服务符合国家、省、市（行业）强制性标准及采购人要求的合格标准，并协助采购人完成工程项目通过人防验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采购包1（二府庄城改安置楼工程项目人防检测服务）：属于专门面向中小企业采购。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特定)资格要求：①供应商需具备《检验检测机构资质认定证书》(CMA资质认定)，且证书附表中批准检验检测的能力范围须涵盖各类防护(密闭)门及安装等相关内容，并在陕西省人防机构备案；②供应商需具备建设工程质量检测机构综合资质证书或建设工程质量检测机构专项资质(同时具备建筑材料及构配件、主体结构及装饰装修、钢结构、地基基础四个专项内容)。</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西安市未央区张家堡街道办事处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029-86682391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采购包1：550,649.00元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西安市未央区张家堡街道办事处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西安市未央区张家堡街道办事处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西安市未央区张家堡街道办事处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及地方有关法律法规的规定，按照《人民防空工程防护设备产品质量检测与施工验收标准》《人民防空工程施工及验收规范》《人民防空工程防护设备试验检测与质量检测标准》等要求，对西安市未央区二府庄城改安置楼工程项目开展人防工程检测服务(二府庄城改安置楼人防工程项目一、二期共五个人防单元(一期总人防检测面积约:4386.75㎡、二期建筑面积约:474.38㎡，掩蔽面积约: 320㎡。)，具体服务内容包含但不限于人防工程防护设备检测、人防主体结构检测、人防工程平战转换预案编写、人防标识标牌检测、检测前期配合等服务内容，要求各项服务符合国家、省、市（行业）强制性标准及采购人要求的合格标准，并协助采购人完成工程项目通过人防验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550,649.00</w:t>
      </w:r>
    </w:p>
    <w:p>
      <w:pPr>
        <w:pStyle w:val="null3"/>
      </w:pPr>
      <w:r>
        <w:rPr>
          <w:rFonts w:ascii="仿宋_GB2312" w:hAnsi="仿宋_GB2312" w:cs="仿宋_GB2312" w:eastAsia="仿宋_GB2312"/>
        </w:rPr>
        <w:t>采购包最高限价（元）: 550,649.00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二府庄城改安置楼人防工程项目检测服务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550,649.00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标的名称：二府庄城改安置楼人防工程项目检测服务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服务内容：</w:t>
            </w:r>
            <w:r>
              <w:rPr>
                <w:rFonts w:ascii="仿宋_GB2312" w:hAnsi="仿宋_GB2312" w:cs="仿宋_GB2312" w:eastAsia="仿宋_GB2312"/>
                <w:sz w:val="21"/>
                <w:color w:val="000000"/>
              </w:rPr>
              <w:t>根据国家及地方有关法律法规的规定，按照《人民防空工程防护设备产品质量检测与施工验收标准》《人民防空工程施工及验收规范》《人民防空工程防护设备试验检测与质量检测标准》等要求，对西安市未央区二府庄城改安置楼工程项目开展人防工程检测服务</w:t>
            </w:r>
            <w:r>
              <w:rPr>
                <w:rFonts w:ascii="仿宋_GB2312" w:hAnsi="仿宋_GB2312" w:cs="仿宋_GB2312" w:eastAsia="仿宋_GB2312"/>
                <w:sz w:val="21"/>
                <w:color w:val="000000"/>
              </w:rPr>
              <w:t>(二府庄城改安置楼人防工程项目一、二期共五个人防单元(一期总人防检测面积约:4386.75㎡、二期建筑面积约:474.38㎡，掩蔽面积约: 320㎡。)，具体服务内容包含但不限于人防工程防护设备检测、人防主体结构检测、人防工程平战转换预案编写、人防标识标牌检测、检测前期配合等服务内容，具体如下（包含但不限于）：</w:t>
            </w:r>
          </w:p>
          <w:p>
            <w:pPr>
              <w:pStyle w:val="null3"/>
              <w:jc w:val="center"/>
            </w:pPr>
            <w:r>
              <w:rPr>
                <w:rFonts w:ascii="仿宋_GB2312" w:hAnsi="仿宋_GB2312" w:cs="仿宋_GB2312" w:eastAsia="仿宋_GB2312"/>
                <w:sz w:val="21"/>
                <w:b/>
                <w:color w:val="000000"/>
              </w:rPr>
              <w:t>人防检测服务内容汇总表</w:t>
            </w:r>
          </w:p>
          <w:tbl>
            <w:tblPr>
              <w:tblBorders>
                <w:top w:val="none" w:color="000000" w:sz="4"/>
                <w:left w:val="none" w:color="000000" w:sz="4"/>
                <w:bottom w:val="none" w:color="000000" w:sz="4"/>
                <w:right w:val="none" w:color="000000" w:sz="4"/>
                <w:insideH w:val="none"/>
                <w:insideV w:val="none"/>
              </w:tblBorders>
            </w:tblPr>
            <w:tblGrid>
              <w:gridCol w:w="214"/>
              <w:gridCol w:w="502"/>
              <w:gridCol w:w="824"/>
              <w:gridCol w:w="473"/>
              <w:gridCol w:w="527"/>
            </w:tblGrid>
            <w:tr>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0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检测项目</w:t>
                  </w:r>
                </w:p>
              </w:tc>
              <w:tc>
                <w:tcPr>
                  <w:tcW w:type="dxa" w:w="8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4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检测数量</w:t>
                  </w:r>
                </w:p>
                <w:p>
                  <w:pPr>
                    <w:pStyle w:val="null3"/>
                    <w:jc w:val="center"/>
                  </w:pPr>
                  <w:r>
                    <w:rPr>
                      <w:rFonts w:ascii="仿宋_GB2312" w:hAnsi="仿宋_GB2312" w:cs="仿宋_GB2312" w:eastAsia="仿宋_GB2312"/>
                      <w:sz w:val="21"/>
                      <w:b/>
                      <w:color w:val="000000"/>
                    </w:rPr>
                    <w:t>（防护单元）</w:t>
                  </w:r>
                </w:p>
              </w:tc>
              <w:tc>
                <w:tcPr>
                  <w:tcW w:type="dxa" w:w="5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1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50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人防工程防护设备检测</w:t>
                  </w: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1.防护设备质量检测</w:t>
                  </w:r>
                </w:p>
              </w:tc>
              <w:tc>
                <w:tcPr>
                  <w:tcW w:type="dxa" w:w="4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包含但不限于附件</w:t>
                  </w:r>
                  <w:r>
                    <w:rPr>
                      <w:rFonts w:ascii="仿宋_GB2312" w:hAnsi="仿宋_GB2312" w:cs="仿宋_GB2312" w:eastAsia="仿宋_GB2312"/>
                      <w:sz w:val="21"/>
                      <w:color w:val="000000"/>
                    </w:rPr>
                    <w:t>1全部内容</w:t>
                  </w:r>
                </w:p>
              </w:tc>
            </w:tr>
            <w:tr>
              <w:tc>
                <w:tcPr>
                  <w:tcW w:type="dxa" w:w="214"/>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2.通风系统检测</w:t>
                  </w:r>
                </w:p>
              </w:tc>
              <w:tc>
                <w:tcPr>
                  <w:tcW w:type="dxa" w:w="473"/>
                  <w:vMerge/>
                  <w:tcBorders>
                    <w:top w:val="none" w:color="000000" w:sz="4"/>
                    <w:left w:val="single" w:color="000000" w:sz="4"/>
                    <w:bottom w:val="single" w:color="000000" w:sz="4"/>
                    <w:right w:val="single" w:color="000000" w:sz="4"/>
                  </w:tcBorders>
                </w:tcPr>
                <w:p/>
              </w:tc>
              <w:tc>
                <w:tcPr>
                  <w:tcW w:type="dxa" w:w="527"/>
                  <w:vMerge/>
                  <w:tcBorders>
                    <w:top w:val="none" w:color="000000" w:sz="4"/>
                    <w:left w:val="singl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50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人防主体结构检测</w:t>
                  </w: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1.构件现龄期混凝土抗压强度抽查；</w:t>
                  </w:r>
                </w:p>
              </w:tc>
              <w:tc>
                <w:tcPr>
                  <w:tcW w:type="dxa" w:w="4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包含但不限于附件</w:t>
                  </w:r>
                  <w:r>
                    <w:rPr>
                      <w:rFonts w:ascii="仿宋_GB2312" w:hAnsi="仿宋_GB2312" w:cs="仿宋_GB2312" w:eastAsia="仿宋_GB2312"/>
                      <w:sz w:val="21"/>
                      <w:color w:val="000000"/>
                    </w:rPr>
                    <w:t>2全部内容</w:t>
                  </w:r>
                </w:p>
              </w:tc>
            </w:tr>
            <w:tr>
              <w:tc>
                <w:tcPr>
                  <w:tcW w:type="dxa" w:w="214"/>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2.构件钢筋位置、数量、间距及保护层厚度探测；</w:t>
                  </w:r>
                </w:p>
              </w:tc>
              <w:tc>
                <w:tcPr>
                  <w:tcW w:type="dxa" w:w="473"/>
                  <w:vMerge/>
                  <w:tcBorders>
                    <w:top w:val="none" w:color="000000" w:sz="4"/>
                    <w:left w:val="single" w:color="000000" w:sz="4"/>
                    <w:bottom w:val="single" w:color="000000" w:sz="4"/>
                    <w:right w:val="single" w:color="000000" w:sz="4"/>
                  </w:tcBorders>
                </w:tcPr>
                <w:p/>
              </w:tc>
              <w:tc>
                <w:tcPr>
                  <w:tcW w:type="dxa" w:w="527"/>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3.构件截面、轴线尺寸检测；</w:t>
                  </w:r>
                </w:p>
              </w:tc>
              <w:tc>
                <w:tcPr>
                  <w:tcW w:type="dxa" w:w="473"/>
                  <w:vMerge/>
                  <w:tcBorders>
                    <w:top w:val="none" w:color="000000" w:sz="4"/>
                    <w:left w:val="single" w:color="000000" w:sz="4"/>
                    <w:bottom w:val="single" w:color="000000" w:sz="4"/>
                    <w:right w:val="single" w:color="000000" w:sz="4"/>
                  </w:tcBorders>
                </w:tcPr>
                <w:p/>
              </w:tc>
              <w:tc>
                <w:tcPr>
                  <w:tcW w:type="dxa" w:w="527"/>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502"/>
                  <w:vMerge/>
                  <w:tcBorders>
                    <w:top w:val="none" w:color="000000" w:sz="4"/>
                    <w:left w:val="single" w:color="000000" w:sz="4"/>
                    <w:bottom w:val="single" w:color="000000" w:sz="4"/>
                    <w:right w:val="single" w:color="000000" w:sz="4"/>
                  </w:tcBorders>
                </w:tcP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4.人防预留孔洞及预埋件施工质量检测。</w:t>
                  </w:r>
                </w:p>
              </w:tc>
              <w:tc>
                <w:tcPr>
                  <w:tcW w:type="dxa" w:w="473"/>
                  <w:vMerge/>
                  <w:tcBorders>
                    <w:top w:val="none" w:color="000000" w:sz="4"/>
                    <w:left w:val="single" w:color="000000" w:sz="4"/>
                    <w:bottom w:val="single" w:color="000000" w:sz="4"/>
                    <w:right w:val="single" w:color="000000" w:sz="4"/>
                  </w:tcBorders>
                </w:tcPr>
                <w:p/>
              </w:tc>
              <w:tc>
                <w:tcPr>
                  <w:tcW w:type="dxa" w:w="527"/>
                  <w:vMerge/>
                  <w:tcBorders>
                    <w:top w:val="none" w:color="000000" w:sz="4"/>
                    <w:left w:val="singl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5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人防工程平战转换预案</w:t>
                  </w: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方案编写</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5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人防标识标牌检测</w:t>
                  </w: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管理标识、导引标识、功能性标识、设备标识、提示性标识。</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包含但不限于附件</w:t>
                  </w:r>
                  <w:r>
                    <w:rPr>
                      <w:rFonts w:ascii="仿宋_GB2312" w:hAnsi="仿宋_GB2312" w:cs="仿宋_GB2312" w:eastAsia="仿宋_GB2312"/>
                      <w:sz w:val="21"/>
                      <w:color w:val="000000"/>
                    </w:rPr>
                    <w:t>3全部内容</w:t>
                  </w:r>
                </w:p>
              </w:tc>
            </w:tr>
            <w:tr>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5</w:t>
                  </w:r>
                </w:p>
              </w:tc>
              <w:tc>
                <w:tcPr>
                  <w:tcW w:type="dxa" w:w="5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前期配合服务</w:t>
                  </w:r>
                </w:p>
              </w:tc>
              <w:tc>
                <w:tcPr>
                  <w:tcW w:type="dxa" w:w="8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根据建设单位提供的最新资料增加前期配合</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包含但不限于附件</w:t>
                  </w:r>
                  <w:r>
                    <w:rPr>
                      <w:rFonts w:ascii="仿宋_GB2312" w:hAnsi="仿宋_GB2312" w:cs="仿宋_GB2312" w:eastAsia="仿宋_GB2312"/>
                      <w:sz w:val="21"/>
                      <w:color w:val="000000"/>
                    </w:rPr>
                    <w:t>4全部内容</w:t>
                  </w:r>
                </w:p>
              </w:tc>
            </w:tr>
          </w:tbl>
          <w:p>
            <w:pPr>
              <w:pStyle w:val="null3"/>
              <w:ind w:firstLine="49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2技术要求：</w:t>
            </w:r>
            <w:r>
              <w:rPr>
                <w:rFonts w:ascii="仿宋_GB2312" w:hAnsi="仿宋_GB2312" w:cs="仿宋_GB2312" w:eastAsia="仿宋_GB2312"/>
                <w:sz w:val="21"/>
                <w:color w:val="000000"/>
              </w:rPr>
              <w:t>服务方具备开展人防工程检测服务的技术力量和经验，采取科学、严谨、针对性强的执行方案，按照国家法律法规的有关规定及操作规程做好项目的实施计划、组织协调、难点、重点把握、质量控制等全方面工作；技术符合国家有关人防检测依据和标准及陕西省关于人防检测的文件规定，依据不限于：</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1）《人民防空工程施工及验收规范》GB50134-2004；</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2）《人民防空工程质量验收与评价标准》 RFJ01-2015；</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3）《人民防空工程防护设备产品质量检测与施工验收标准》RFJ01-2002；</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4）《人民防空工程防护设备试验测试与质量检测标准》RFJ04-2009；</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5）《国防工程施工验收规范》 GJ4315.3-2006；</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6）《焊缝无损检测超声波检测技术检测等级和评定》GB/T 11345-2013；</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7）《钢结构焊接规范》GB50661-2011；</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8）《无损检测焊接磁粉检测》GB/T26952-2011；</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9）《色漆和清漆漆膜的划格试验》GB/T 9286-1998；</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10）《色漆和清漆漆膜厚度的测定》GB/T  13452.2-2008；</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11）《接触式超声脉冲回波法测厚方法》GB/T 11344-2008；</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12）《热轧钢板和钢带的尺寸 外形 重量及允许偏差》GB/ T709-2019；</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13）《混凝土钢筋检测技术规程》JGJ/T 152-2019；</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14）《回弹法检测混凝土抗压强度技术规程》 JGJ/T 23-2011；</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15）《风机 压缩机 泵安装工程施工及验收规范》 GB 50275-2010；</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16）《工业通风机现场性能测试》 GB/T 10178-2006；</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17）《通风与空调工程施工质量验收规范》 GB 50243-2016；</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18）《未注公差的线性和角度尺寸的公差》 GB/T 1804-2000；</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19）《通风与空调系统性能检测规程》 DG/TJ08-802-2005；</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20）《检验检测报告编制规范》DB61/T1327.5-2002；</w:t>
            </w:r>
          </w:p>
          <w:p>
            <w:pPr>
              <w:pStyle w:val="null3"/>
              <w:ind w:firstLine="49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 其他人防检测依据和标准相关文件和资料。</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3进度要求：</w:t>
            </w:r>
            <w:r>
              <w:rPr>
                <w:rFonts w:ascii="仿宋_GB2312" w:hAnsi="仿宋_GB2312" w:cs="仿宋_GB2312" w:eastAsia="仿宋_GB2312"/>
                <w:sz w:val="21"/>
                <w:color w:val="000000"/>
              </w:rPr>
              <w:t>通过采取科学合理、针对性强的</w:t>
            </w:r>
            <w:r>
              <w:rPr>
                <w:rFonts w:ascii="仿宋_GB2312" w:hAnsi="仿宋_GB2312" w:cs="仿宋_GB2312" w:eastAsia="仿宋_GB2312"/>
                <w:sz w:val="21"/>
                <w:color w:val="000000"/>
              </w:rPr>
              <w:t>技术组织和</w:t>
            </w:r>
            <w:r>
              <w:rPr>
                <w:rFonts w:ascii="仿宋_GB2312" w:hAnsi="仿宋_GB2312" w:cs="仿宋_GB2312" w:eastAsia="仿宋_GB2312"/>
                <w:sz w:val="21"/>
                <w:color w:val="000000"/>
              </w:rPr>
              <w:t>实施方</w:t>
            </w:r>
            <w:r>
              <w:rPr>
                <w:rFonts w:ascii="仿宋_GB2312" w:hAnsi="仿宋_GB2312" w:cs="仿宋_GB2312" w:eastAsia="仿宋_GB2312"/>
                <w:sz w:val="21"/>
                <w:color w:val="000000"/>
              </w:rPr>
              <w:t>法</w:t>
            </w:r>
            <w:r>
              <w:rPr>
                <w:rFonts w:ascii="仿宋_GB2312" w:hAnsi="仿宋_GB2312" w:cs="仿宋_GB2312" w:eastAsia="仿宋_GB2312"/>
                <w:sz w:val="21"/>
                <w:color w:val="000000"/>
              </w:rPr>
              <w:t>将项目实施进度控制在采购人所要求的合理时间节点内。</w:t>
            </w:r>
          </w:p>
          <w:p>
            <w:pPr>
              <w:pStyle w:val="null3"/>
              <w:ind w:firstLine="422"/>
              <w:jc w:val="left"/>
            </w:pPr>
            <w:r>
              <w:rPr>
                <w:rFonts w:ascii="仿宋_GB2312" w:hAnsi="仿宋_GB2312" w:cs="仿宋_GB2312" w:eastAsia="仿宋_GB2312"/>
                <w:sz w:val="21"/>
                <w:b/>
                <w:color w:val="000000"/>
              </w:rPr>
              <w:t>2.4</w:t>
            </w:r>
            <w:r>
              <w:rPr>
                <w:rFonts w:ascii="仿宋_GB2312" w:hAnsi="仿宋_GB2312" w:cs="仿宋_GB2312" w:eastAsia="仿宋_GB2312"/>
                <w:sz w:val="21"/>
                <w:b/>
                <w:color w:val="000000"/>
              </w:rPr>
              <w:t>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1）服务方须指派专属人员与采购人联系服务事宜，服务响应时间应根据采购人实际安排随时调整。</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2）所有服务方式均为服务方上门服务，即由服务方派员到服务现场，项目实行包工包料、包组织、包服务，由此产生的一切费用均由服务方承担。</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3）服务方需根据服务实际情况编制服务方案、管理方案、服务计划、重点难点分析、质量控制、整改意见及措施、合理化建议等方案措施。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5）服务过程中，严格遵守各种管理规定及规章制度，做到奉公守法、诚实守信、廉洁自律、安全文明；服务过程中如发生工伤及意外事故由服务单位负责。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6）服务方拟投入的服务人员对于在工作中获悉的一切政府工作的信息应严格保守秘密，不得泄露；对于违反者，给采购人单位造成不良社会影响的，或给采购人单位造成损失的，由服务方承担赔偿责任。</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7）严格按照国家、陕西省、西安市有关规定及采购人要求进行服务，不得随意更改或者变换服务内容，每项服务内容在实施前应事先取得采购人的落实后方可实施。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8）配合促进采购人安排的其他人防工程检测相关工作。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9）项目服务完成后，要妥善保管有关各方提供的各类资料，按采购人要求出具相关检测报告并对相关资料进行收集、整理、装订成册，交付采购人归档保存。</w:t>
            </w:r>
          </w:p>
          <w:p>
            <w:pPr>
              <w:pStyle w:val="null3"/>
              <w:ind w:firstLine="422"/>
              <w:jc w:val="left"/>
            </w:pPr>
            <w:r>
              <w:rPr>
                <w:rFonts w:ascii="仿宋_GB2312" w:hAnsi="仿宋_GB2312" w:cs="仿宋_GB2312" w:eastAsia="仿宋_GB2312"/>
                <w:sz w:val="21"/>
                <w:b/>
                <w:color w:val="000000"/>
              </w:rPr>
              <w:t>2.5成果要求：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）当检测工作全部结束，成交供应商向采购人提交检测报告，检测报告内容应完整真实、科学严谨，</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整改意见及可行方案，最终满足采购人完成工程项目通过人防验收</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按采购人实际需求提供</w:t>
            </w:r>
            <w:r>
              <w:rPr>
                <w:rFonts w:ascii="仿宋_GB2312" w:hAnsi="仿宋_GB2312" w:cs="仿宋_GB2312" w:eastAsia="仿宋_GB2312"/>
                <w:sz w:val="21"/>
                <w:color w:val="000000"/>
              </w:rPr>
              <w:t>纸质成果</w:t>
            </w:r>
            <w:r>
              <w:rPr>
                <w:rFonts w:ascii="仿宋_GB2312" w:hAnsi="仿宋_GB2312" w:cs="仿宋_GB2312" w:eastAsia="仿宋_GB2312"/>
                <w:sz w:val="21"/>
                <w:color w:val="000000"/>
              </w:rPr>
              <w:t>和</w:t>
            </w:r>
            <w:r>
              <w:rPr>
                <w:rFonts w:ascii="仿宋_GB2312" w:hAnsi="仿宋_GB2312" w:cs="仿宋_GB2312" w:eastAsia="仿宋_GB2312"/>
                <w:sz w:val="21"/>
                <w:color w:val="000000"/>
              </w:rPr>
              <w:t>与纸质成果相对应的电子文档</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2.6质量标准：</w:t>
            </w: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1）各项服务符合国家、省、市（行业）强制性标准及采购人要求的合格标准，并协助采购人完成工程项目通过人防验收。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辅助人员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自签订合同之日起至项目完成人防工程验收。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检测服务结果验收的重要依据，采购人根据有关规范、规定及项目检测服务要求对服务方提供的检测服务进行检查或考核，服务方须接受采购人有关检测服务的各类考核或检查；若检测服务结果验收不通过或检测服务质量不符合采购要求，服务方应在一定期限内以采购人要求的标准进行整改或完善检测服务，并再次进行检测服务考核或检查，若服务方在接受检查整改后最终仍未按要求提供符合要求的检测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服务方提供检测报告电子版后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服务方提交纸质版检测报告，且工程项目通过人防验收后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它相关的一切费用，包括但不限于：检测费、人工费、设备使用费、资料费、管理费、检测服务验收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 五、文件中签名是指：手写签名或加盖签名章（含电子章、印章、签名章），盖章是指加盖单位章（含电子章）。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本项目资格审查小组由1名采购人代表和2名采购代理机构工作人员组成；资格审查小组依法对供应商的资格进行审查。③控股管理关系及重大违法记录等以响应截止日资格审查小组通过“信用中国”“中国执行信息公开网”“中国政府采购网”等网站现场查询的结果进行综合判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响应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供应商特殊(特定)资格要求</w:t>
            </w:r>
          </w:p>
        </w:tc>
        <w:tc>
          <w:tcPr>
            <w:tcW w:type="dxa" w:w="3322"/>
          </w:tcPr>
          <w:p>
            <w:pPr>
              <w:pStyle w:val="null3"/>
            </w:pPr>
            <w:r>
              <w:rPr>
                <w:rFonts w:ascii="仿宋_GB2312" w:hAnsi="仿宋_GB2312" w:cs="仿宋_GB2312" w:eastAsia="仿宋_GB2312"/>
              </w:rPr>
              <w:t>①供应商需具备《检验检测机构资质认定证书》(CMA资质认定)，且证书附表中批准检验检测的能力范围须涵盖各类防护(密闭)门及安装等相关内容，并在陕西省人防机构备案；②供应商需具备建设工程质量检测机构综合资质证书或建设工程质量检测机构专项资质(同时具备建筑材料及构配件、主体结构及装饰装修、钢结构、地基基础四个专项内容)。</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符合磋商文件中有关“响应文件格式”及签署、盖章要求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响应文件内容齐全、无遗漏，符合磋商文件中的实质性条款要求，且未含有采购人不能接受的附加条件。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服务期限、服务地点、质量标准</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根据项目理解情况的①人防工程防护设备检测、②人防主体结构检测、③人防工程平战转换预案编制、④人防标识标牌检测、⑤检测前期配合的响应程度。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重点、难点分析及问题解决对策</w:t>
            </w:r>
          </w:p>
        </w:tc>
        <w:tc>
          <w:tcPr>
            <w:tcW w:type="dxa" w:w="2492"/>
          </w:tcPr>
          <w:p>
            <w:pPr>
              <w:pStyle w:val="null3"/>
            </w:pPr>
            <w:r>
              <w:rPr>
                <w:rFonts w:ascii="仿宋_GB2312" w:hAnsi="仿宋_GB2312" w:cs="仿宋_GB2312" w:eastAsia="仿宋_GB2312"/>
              </w:rPr>
              <w:t>根据检测服务的①重点、难点分析和②问题解决对策的响应程度。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根据实施方案的①实施思路、②实施方法、③进度保障、④成果审核及提交、⑤检测结果的整改完善及协助验收的响应程度。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管理制度及组织结构</w:t>
            </w:r>
          </w:p>
        </w:tc>
        <w:tc>
          <w:tcPr>
            <w:tcW w:type="dxa" w:w="2492"/>
          </w:tcPr>
          <w:p>
            <w:pPr>
              <w:pStyle w:val="null3"/>
            </w:pPr>
            <w:r>
              <w:rPr>
                <w:rFonts w:ascii="仿宋_GB2312" w:hAnsi="仿宋_GB2312" w:cs="仿宋_GB2312" w:eastAsia="仿宋_GB2312"/>
              </w:rPr>
              <w:t>根据管理制度的①组织结构设置、②职责及分工、③管理制度、④工作规范的响应程度。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根据服务质量的①隐患排查及处理和②质量保证措施的响应程度。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合理化建议及廉洁、保密</w:t>
            </w:r>
          </w:p>
        </w:tc>
        <w:tc>
          <w:tcPr>
            <w:tcW w:type="dxa" w:w="2492"/>
          </w:tcPr>
          <w:p>
            <w:pPr>
              <w:pStyle w:val="null3"/>
            </w:pPr>
            <w:r>
              <w:rPr>
                <w:rFonts w:ascii="仿宋_GB2312" w:hAnsi="仿宋_GB2312" w:cs="仿宋_GB2312" w:eastAsia="仿宋_GB2312"/>
              </w:rPr>
              <w:t>根据服务过程中的①廉洁、保密制度及措施和②有利于采购人的合理化建议的响应程度。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具有2023年1月1日起至今（以合同签订时间为准）人防工程质量检测服务类项目业绩，业绩以合同扫描（复印）件为依据；每提供1个业绩得2分，最多得10分。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