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版本号：TWZB2026-00420260107001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未央区机器人创新中心物业管理服务项目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TWZB2026-004</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未央区机器人创新中心物业管理服务项目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TWZB2026-004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未央区机器人创新中心物业管理服务项目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为未央区机器人创新中心提供保洁、办公室办公家具养护、客服管理、设施设备维修及安保服务。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采购包1（未央区机器人创新中心物业管理服务项目）：属于专门面向中小企业采购。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法定代表人授权书及被授权人身份证：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供应商需在项目电子化交易系统中按要求上传相应证明文件并进行电子签章；</w:t>
      </w:r>
    </w:p>
    <w:p>
      <w:pPr>
        <w:pStyle w:val="null3"/>
      </w:pPr>
      <w:r>
        <w:rPr>
          <w:rFonts w:ascii="仿宋_GB2312" w:hAnsi="仿宋_GB2312" w:cs="仿宋_GB2312" w:eastAsia="仿宋_GB2312"/>
        </w:rPr>
        <w:t>3、财务状况报告（二选一）：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税收缴纳证明：税收缴纳证明：供应商提供已缴纳的2025年1月至今至少一个月的纳税证明或完税证明（任意税种）；依法免税的单位应提供相关文件证明；供应商为零申报企业提供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社会保障资金缴纳证明：社会保障资金缴纳证明：供应商提供已缴存的2025年1月至今至少一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具备履行合同所必须的设备和专业技术能力的说明及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重大违法记录声明：参加政府采购活动前三年内，在经营活动中没有重大违法记录的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rFonts w:ascii="仿宋_GB2312" w:hAnsi="仿宋_GB2312" w:cs="仿宋_GB2312" w:eastAsia="仿宋_GB2312"/>
        </w:rPr>
        <w:t>9、非联合体承诺书：本项目不接受联合体磋商（提供非联合体承诺书）。供应商需在项目电子化交易系统中按要求上传相应证明文件并进行电子签章。</w:t>
      </w:r>
    </w:p>
    <w:p>
      <w:pPr>
        <w:pStyle w:val="null3"/>
      </w:pPr>
      <w:r>
        <w:rPr>
          <w:rFonts w:ascii="仿宋_GB2312" w:hAnsi="仿宋_GB2312" w:cs="仿宋_GB2312" w:eastAsia="仿宋_GB2312"/>
        </w:rPr>
        <w:t>10、供应商企业关系关联承诺书：单位负责人为同一人或者存在控股、管理关系的不同单位不得同时投标（提供供应商企业关系关联承诺书）。供应商需在项目电子化交易系统中按要求上传相应证明文件并进行电子签章。</w:t>
      </w:r>
    </w:p>
    <w:p>
      <w:pPr>
        <w:pStyle w:val="null3"/>
      </w:pPr>
      <w:r>
        <w:rPr>
          <w:rFonts w:ascii="仿宋_GB2312" w:hAnsi="仿宋_GB2312" w:cs="仿宋_GB2312" w:eastAsia="仿宋_GB2312"/>
        </w:rPr>
        <w:t>11、中小企业声明函：本项目专门面向中小企业采购（提供中小企业声明函），非中小企业单位（监狱企业、残疾人福利单位除外）不得参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草滩八路南端与一干路交叉口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西安未央工业园管理委员会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18700598363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(计价格〔2002〕1980号)、《国家发展改革委关于降低部分建设项目收费标准规范收费行为等有关问题的通知》(发改价格〔2011〕534号)规定执行。不足5000.00元按5000.00元计取。 服务费账户信息： 户名:陕西天沃工程项目管理有限公司未央分公司 账户：20000104405800198321888 开户银行:北京银行股份有限公司西安北客站科技支行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为未央区机器人创新中心提供保洁、办公室办公家具养护、客服管理、设施设备维修及安保服务。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未央区机器人创新中心物业管理服务项目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标的名称：未央区机器人创新中心物业管理服务项目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未央工业园管委会办公楼</w:t>
            </w:r>
            <w:r>
              <w:rPr>
                <w:rFonts w:ascii="仿宋_GB2312" w:hAnsi="仿宋_GB2312" w:cs="仿宋_GB2312" w:eastAsia="仿宋_GB2312"/>
                <w:sz w:val="20"/>
              </w:rPr>
              <w:t>每</w:t>
            </w:r>
            <w:r>
              <w:rPr>
                <w:rFonts w:ascii="仿宋_GB2312" w:hAnsi="仿宋_GB2312" w:cs="仿宋_GB2312" w:eastAsia="仿宋_GB2312"/>
                <w:sz w:val="20"/>
              </w:rPr>
              <w:t>层面积</w:t>
            </w:r>
            <w:r>
              <w:rPr>
                <w:rFonts w:ascii="仿宋_GB2312" w:hAnsi="仿宋_GB2312" w:cs="仿宋_GB2312" w:eastAsia="仿宋_GB2312"/>
                <w:sz w:val="20"/>
              </w:rPr>
              <w:t>约</w:t>
            </w:r>
            <w:r>
              <w:rPr>
                <w:rFonts w:ascii="仿宋_GB2312" w:hAnsi="仿宋_GB2312" w:cs="仿宋_GB2312" w:eastAsia="仿宋_GB2312"/>
                <w:sz w:val="20"/>
              </w:rPr>
              <w:t>16</w:t>
            </w:r>
            <w:r>
              <w:rPr>
                <w:rFonts w:ascii="仿宋_GB2312" w:hAnsi="仿宋_GB2312" w:cs="仿宋_GB2312" w:eastAsia="仿宋_GB2312"/>
                <w:sz w:val="20"/>
              </w:rPr>
              <w:t>00</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共</w:t>
            </w:r>
            <w:r>
              <w:rPr>
                <w:rFonts w:ascii="仿宋_GB2312" w:hAnsi="仿宋_GB2312" w:cs="仿宋_GB2312" w:eastAsia="仿宋_GB2312"/>
                <w:sz w:val="20"/>
              </w:rPr>
              <w:t>5层，</w:t>
            </w:r>
            <w:r>
              <w:rPr>
                <w:rFonts w:ascii="仿宋_GB2312" w:hAnsi="仿宋_GB2312" w:cs="仿宋_GB2312" w:eastAsia="仿宋_GB2312"/>
                <w:sz w:val="20"/>
              </w:rPr>
              <w:t>1-5层面积</w:t>
            </w:r>
            <w:r>
              <w:rPr>
                <w:rFonts w:ascii="仿宋_GB2312" w:hAnsi="仿宋_GB2312" w:cs="仿宋_GB2312" w:eastAsia="仿宋_GB2312"/>
                <w:sz w:val="20"/>
              </w:rPr>
              <w:t>共</w:t>
            </w:r>
            <w:r>
              <w:rPr>
                <w:rFonts w:ascii="仿宋_GB2312" w:hAnsi="仿宋_GB2312" w:cs="仿宋_GB2312" w:eastAsia="仿宋_GB2312"/>
                <w:sz w:val="20"/>
              </w:rPr>
              <w:t>约为</w:t>
            </w:r>
            <w:r>
              <w:rPr>
                <w:rFonts w:ascii="仿宋_GB2312" w:hAnsi="仿宋_GB2312" w:cs="仿宋_GB2312" w:eastAsia="仿宋_GB2312"/>
                <w:sz w:val="20"/>
              </w:rPr>
              <w:t>8000</w:t>
            </w:r>
            <w:r>
              <w:rPr>
                <w:rFonts w:ascii="仿宋_GB2312" w:hAnsi="仿宋_GB2312" w:cs="仿宋_GB2312" w:eastAsia="仿宋_GB2312"/>
                <w:sz w:val="20"/>
              </w:rPr>
              <w:t>㎡，</w:t>
            </w:r>
            <w:r>
              <w:rPr>
                <w:rFonts w:ascii="仿宋_GB2312" w:hAnsi="仿宋_GB2312" w:cs="仿宋_GB2312" w:eastAsia="仿宋_GB2312"/>
                <w:sz w:val="20"/>
              </w:rPr>
              <w:t>针对单位办公大楼及</w:t>
            </w:r>
            <w:r>
              <w:rPr>
                <w:rFonts w:ascii="仿宋_GB2312" w:hAnsi="仿宋_GB2312" w:cs="仿宋_GB2312" w:eastAsia="仿宋_GB2312"/>
                <w:sz w:val="20"/>
              </w:rPr>
              <w:t>室外共</w:t>
            </w:r>
            <w:r>
              <w:rPr>
                <w:rFonts w:ascii="仿宋_GB2312" w:hAnsi="仿宋_GB2312" w:cs="仿宋_GB2312" w:eastAsia="仿宋_GB2312"/>
                <w:sz w:val="20"/>
              </w:rPr>
              <w:t>约</w:t>
            </w:r>
            <w:r>
              <w:rPr>
                <w:rFonts w:ascii="仿宋_GB2312" w:hAnsi="仿宋_GB2312" w:cs="仿宋_GB2312" w:eastAsia="仿宋_GB2312"/>
                <w:sz w:val="20"/>
              </w:rPr>
              <w:t>14600</w:t>
            </w:r>
            <w:r>
              <w:rPr>
                <w:rFonts w:ascii="仿宋_GB2312" w:hAnsi="仿宋_GB2312" w:cs="仿宋_GB2312" w:eastAsia="仿宋_GB2312"/>
                <w:sz w:val="20"/>
              </w:rPr>
              <w:t>㎡</w:t>
            </w:r>
            <w:r>
              <w:rPr>
                <w:rFonts w:ascii="仿宋_GB2312" w:hAnsi="仿宋_GB2312" w:cs="仿宋_GB2312" w:eastAsia="仿宋_GB2312"/>
                <w:sz w:val="20"/>
              </w:rPr>
              <w:t>提供日常卫生保洁垃圾清运、办公室办公家具养护</w:t>
            </w:r>
            <w:r>
              <w:rPr>
                <w:rFonts w:ascii="仿宋_GB2312" w:hAnsi="仿宋_GB2312" w:cs="仿宋_GB2312" w:eastAsia="仿宋_GB2312"/>
                <w:sz w:val="20"/>
              </w:rPr>
              <w:t>、</w:t>
            </w:r>
            <w:r>
              <w:rPr>
                <w:rFonts w:ascii="仿宋_GB2312" w:hAnsi="仿宋_GB2312" w:cs="仿宋_GB2312" w:eastAsia="仿宋_GB2312"/>
                <w:sz w:val="20"/>
              </w:rPr>
              <w:t>客服管理</w:t>
            </w:r>
            <w:r>
              <w:rPr>
                <w:rFonts w:ascii="仿宋_GB2312" w:hAnsi="仿宋_GB2312" w:cs="仿宋_GB2312" w:eastAsia="仿宋_GB2312"/>
                <w:sz w:val="20"/>
              </w:rPr>
              <w:t>、</w:t>
            </w:r>
            <w:r>
              <w:rPr>
                <w:rFonts w:ascii="仿宋_GB2312" w:hAnsi="仿宋_GB2312" w:cs="仿宋_GB2312" w:eastAsia="仿宋_GB2312"/>
                <w:sz w:val="20"/>
              </w:rPr>
              <w:t>24小时安保</w:t>
            </w:r>
            <w:r>
              <w:rPr>
                <w:rFonts w:ascii="仿宋_GB2312" w:hAnsi="仿宋_GB2312" w:cs="仿宋_GB2312" w:eastAsia="仿宋_GB2312"/>
                <w:sz w:val="20"/>
              </w:rPr>
              <w:t>（</w:t>
            </w:r>
            <w:r>
              <w:rPr>
                <w:rFonts w:ascii="仿宋_GB2312" w:hAnsi="仿宋_GB2312" w:cs="仿宋_GB2312" w:eastAsia="仿宋_GB2312"/>
                <w:sz w:val="20"/>
              </w:rPr>
              <w:t>车辆管理</w:t>
            </w:r>
            <w:r>
              <w:rPr>
                <w:rFonts w:ascii="仿宋_GB2312" w:hAnsi="仿宋_GB2312" w:cs="仿宋_GB2312" w:eastAsia="仿宋_GB2312"/>
                <w:sz w:val="20"/>
              </w:rPr>
              <w:t>、</w:t>
            </w:r>
            <w:r>
              <w:rPr>
                <w:rFonts w:ascii="仿宋_GB2312" w:hAnsi="仿宋_GB2312" w:cs="仿宋_GB2312" w:eastAsia="仿宋_GB2312"/>
                <w:sz w:val="20"/>
              </w:rPr>
              <w:t>治安巡逻</w:t>
            </w:r>
            <w:r>
              <w:rPr>
                <w:rFonts w:ascii="仿宋_GB2312" w:hAnsi="仿宋_GB2312" w:cs="仿宋_GB2312" w:eastAsia="仿宋_GB2312"/>
                <w:sz w:val="20"/>
              </w:rPr>
              <w:t>）、</w:t>
            </w:r>
            <w:r>
              <w:rPr>
                <w:rFonts w:ascii="仿宋_GB2312" w:hAnsi="仿宋_GB2312" w:cs="仿宋_GB2312" w:eastAsia="仿宋_GB2312"/>
                <w:sz w:val="20"/>
              </w:rPr>
              <w:t>设施设备维修及维护</w:t>
            </w:r>
            <w:r>
              <w:rPr>
                <w:rFonts w:ascii="仿宋_GB2312" w:hAnsi="仿宋_GB2312" w:cs="仿宋_GB2312" w:eastAsia="仿宋_GB2312"/>
                <w:sz w:val="20"/>
              </w:rPr>
              <w:t>、水电工、绿化等服务，</w:t>
            </w:r>
            <w:r>
              <w:rPr>
                <w:rFonts w:ascii="仿宋_GB2312" w:hAnsi="仿宋_GB2312" w:cs="仿宋_GB2312" w:eastAsia="仿宋_GB2312"/>
                <w:sz w:val="20"/>
              </w:rPr>
              <w:t>打造整洁、安全、有序的</w:t>
            </w:r>
            <w:r>
              <w:rPr>
                <w:rFonts w:ascii="仿宋_GB2312" w:hAnsi="仿宋_GB2312" w:cs="仿宋_GB2312" w:eastAsia="仿宋_GB2312"/>
                <w:sz w:val="20"/>
              </w:rPr>
              <w:t>办公</w:t>
            </w:r>
            <w:r>
              <w:rPr>
                <w:rFonts w:ascii="仿宋_GB2312" w:hAnsi="仿宋_GB2312" w:cs="仿宋_GB2312" w:eastAsia="仿宋_GB2312"/>
                <w:sz w:val="20"/>
              </w:rPr>
              <w:t>环境</w:t>
            </w:r>
            <w:r>
              <w:rPr>
                <w:rFonts w:ascii="仿宋_GB2312" w:hAnsi="仿宋_GB2312" w:cs="仿宋_GB2312" w:eastAsia="仿宋_GB2312"/>
                <w:sz w:val="20"/>
              </w:rPr>
              <w:t>，</w:t>
            </w:r>
            <w:r>
              <w:rPr>
                <w:rFonts w:ascii="仿宋_GB2312" w:hAnsi="仿宋_GB2312" w:cs="仿宋_GB2312" w:eastAsia="仿宋_GB2312"/>
                <w:sz w:val="20"/>
              </w:rPr>
              <w:t>满足日常运营需求。</w:t>
            </w:r>
            <w:r>
              <w:br/>
            </w:r>
            <w:r>
              <w:rPr>
                <w:rFonts w:ascii="仿宋_GB2312" w:hAnsi="仿宋_GB2312" w:cs="仿宋_GB2312" w:eastAsia="仿宋_GB2312"/>
                <w:sz w:val="20"/>
              </w:rPr>
              <w:t>二、物业管理服务内容</w:t>
            </w:r>
            <w:r>
              <w:br/>
            </w:r>
            <w:r>
              <w:rPr>
                <w:rFonts w:ascii="仿宋_GB2312" w:hAnsi="仿宋_GB2312" w:cs="仿宋_GB2312" w:eastAsia="仿宋_GB2312"/>
                <w:sz w:val="20"/>
              </w:rPr>
              <w:t>（一）安全管理：</w:t>
            </w:r>
            <w:r>
              <w:rPr>
                <w:rFonts w:ascii="仿宋_GB2312" w:hAnsi="仿宋_GB2312" w:cs="仿宋_GB2312" w:eastAsia="仿宋_GB2312"/>
                <w:sz w:val="20"/>
              </w:rPr>
              <w:t>24小时安保服务,包括大门、大楼进出口安全检查、巡查、监控等。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）门岗出入口</w:t>
            </w:r>
            <w:r>
              <w:rPr>
                <w:rFonts w:ascii="仿宋_GB2312" w:hAnsi="仿宋_GB2312" w:cs="仿宋_GB2312" w:eastAsia="仿宋_GB2312"/>
                <w:sz w:val="20"/>
              </w:rPr>
              <w:t>24小时值班，做好辖区内的安全秩序巡查与维护工作。（2）服从采购人管理，遵守各项规章制度，执行安全管理规定，严格按采购人要求做好辖区安全管理工作，自觉接受采购人、公安机关及地方管理部门的业务检查、监督和指导。（3）严禁小商小贩、外卖、闲杂人等进入楼内，纠正或制止辖区内各种违章（法）违规 （纪）行为（包括但不限于乱搭乱建、乱张贴、摆摊设点、乱涂乱画、乱悬挂等）。（</w:t>
            </w:r>
            <w:r>
              <w:rPr>
                <w:rFonts w:ascii="仿宋_GB2312" w:hAnsi="仿宋_GB2312" w:cs="仿宋_GB2312" w:eastAsia="仿宋_GB2312"/>
                <w:sz w:val="20"/>
              </w:rPr>
              <w:t>4</w:t>
            </w:r>
            <w:r>
              <w:rPr>
                <w:rFonts w:ascii="仿宋_GB2312" w:hAnsi="仿宋_GB2312" w:cs="仿宋_GB2312" w:eastAsia="仿宋_GB2312"/>
                <w:sz w:val="20"/>
              </w:rPr>
              <w:t>）维护辖区内公共设施的安全和职工的人身及财产安全。实行</w:t>
            </w:r>
            <w:r>
              <w:rPr>
                <w:rFonts w:ascii="仿宋_GB2312" w:hAnsi="仿宋_GB2312" w:cs="仿宋_GB2312" w:eastAsia="仿宋_GB2312"/>
                <w:sz w:val="20"/>
              </w:rPr>
              <w:t>24小时值班、巡逻制度，确保楼内无安全事故发生、设施设备无丢失情况。巡逻人员须时刻保持与采购人通讯联系，对于辖区内突发事件须能做到各岗位联动，能够在3分钟内迅速集结反应。预防火灾、洪涝、盗窃等安全事故的发生。（</w:t>
            </w:r>
            <w:r>
              <w:rPr>
                <w:rFonts w:ascii="仿宋_GB2312" w:hAnsi="仿宋_GB2312" w:cs="仿宋_GB2312" w:eastAsia="仿宋_GB2312"/>
                <w:sz w:val="20"/>
              </w:rPr>
              <w:t>5</w:t>
            </w:r>
            <w:r>
              <w:rPr>
                <w:rFonts w:ascii="仿宋_GB2312" w:hAnsi="仿宋_GB2312" w:cs="仿宋_GB2312" w:eastAsia="仿宋_GB2312"/>
                <w:sz w:val="20"/>
              </w:rPr>
              <w:t>）负责做好整个区域水、电、气、空调、通风等日常巡检并做好相关记录，发现问题及时报告物业处理。（</w:t>
            </w:r>
            <w:r>
              <w:rPr>
                <w:rFonts w:ascii="仿宋_GB2312" w:hAnsi="仿宋_GB2312" w:cs="仿宋_GB2312" w:eastAsia="仿宋_GB2312"/>
                <w:sz w:val="20"/>
              </w:rPr>
              <w:t>6</w:t>
            </w:r>
            <w:r>
              <w:rPr>
                <w:rFonts w:ascii="仿宋_GB2312" w:hAnsi="仿宋_GB2312" w:cs="仿宋_GB2312" w:eastAsia="仿宋_GB2312"/>
                <w:sz w:val="20"/>
              </w:rPr>
              <w:t>）熟悉消防设施设备存放位置并熟练运用，确保楼内各通道、楼梯、</w:t>
            </w:r>
            <w:r>
              <w:rPr>
                <w:rFonts w:ascii="仿宋_GB2312" w:hAnsi="仿宋_GB2312" w:cs="仿宋_GB2312" w:eastAsia="仿宋_GB2312"/>
                <w:sz w:val="20"/>
              </w:rPr>
              <w:t>出入口及大楼周边消防通道畅通。定期进行消防安全演练，执行扑救初级火灾等灾害事故的紧急任务。（</w:t>
            </w:r>
            <w:r>
              <w:rPr>
                <w:rFonts w:ascii="仿宋_GB2312" w:hAnsi="仿宋_GB2312" w:cs="仿宋_GB2312" w:eastAsia="仿宋_GB2312"/>
                <w:sz w:val="20"/>
              </w:rPr>
              <w:t>7</w:t>
            </w:r>
            <w:r>
              <w:rPr>
                <w:rFonts w:ascii="仿宋_GB2312" w:hAnsi="仿宋_GB2312" w:cs="仿宋_GB2312" w:eastAsia="仿宋_GB2312"/>
                <w:sz w:val="20"/>
              </w:rPr>
              <w:t>）定期巡查辖区安防设施、设备和消防设施、设备并做好相关记录。（</w:t>
            </w:r>
            <w:r>
              <w:rPr>
                <w:rFonts w:ascii="仿宋_GB2312" w:hAnsi="仿宋_GB2312" w:cs="仿宋_GB2312" w:eastAsia="仿宋_GB2312"/>
                <w:sz w:val="20"/>
              </w:rPr>
              <w:t>8</w:t>
            </w:r>
            <w:r>
              <w:rPr>
                <w:rFonts w:ascii="仿宋_GB2312" w:hAnsi="仿宋_GB2312" w:cs="仿宋_GB2312" w:eastAsia="仿宋_GB2312"/>
                <w:sz w:val="20"/>
              </w:rPr>
              <w:t>）每周巡检服务区域内的所有照明设备，发现问题及时记录并维修，同时做好相应记录。（</w:t>
            </w:r>
            <w:r>
              <w:rPr>
                <w:rFonts w:ascii="仿宋_GB2312" w:hAnsi="仿宋_GB2312" w:cs="仿宋_GB2312" w:eastAsia="仿宋_GB2312"/>
                <w:sz w:val="20"/>
              </w:rPr>
              <w:t>9</w:t>
            </w:r>
            <w:r>
              <w:rPr>
                <w:rFonts w:ascii="仿宋_GB2312" w:hAnsi="仿宋_GB2312" w:cs="仿宋_GB2312" w:eastAsia="仿宋_GB2312"/>
                <w:sz w:val="20"/>
              </w:rPr>
              <w:t>）监控设备</w:t>
            </w:r>
            <w:r>
              <w:rPr>
                <w:rFonts w:ascii="仿宋_GB2312" w:hAnsi="仿宋_GB2312" w:cs="仿宋_GB2312" w:eastAsia="仿宋_GB2312"/>
                <w:sz w:val="20"/>
              </w:rPr>
              <w:t>24小时运行，异常情况即时响应；建立应急预案，确保突发停电时照明设备能迅速启用。（</w:t>
            </w:r>
            <w:r>
              <w:rPr>
                <w:rFonts w:ascii="仿宋_GB2312" w:hAnsi="仿宋_GB2312" w:cs="仿宋_GB2312" w:eastAsia="仿宋_GB2312"/>
                <w:sz w:val="20"/>
              </w:rPr>
              <w:t>10</w:t>
            </w:r>
            <w:r>
              <w:rPr>
                <w:rFonts w:ascii="仿宋_GB2312" w:hAnsi="仿宋_GB2312" w:cs="仿宋_GB2312" w:eastAsia="仿宋_GB2312"/>
                <w:sz w:val="20"/>
              </w:rPr>
              <w:t>）停车场管理：包括车辆进出、停放和通道的秩序管理。做到各种车辆进出有序，停放整齐，场地整洁，安全标识明显，防范措施得力，确保车库、车辆及行人的安全。因在岗人员擅离职守等未按要求等行为造成的所有安全责任事故将由中标供应商负责。</w:t>
            </w:r>
          </w:p>
          <w:p>
            <w:pPr>
              <w:pStyle w:val="null3"/>
              <w:jc w:val="both"/>
            </w:pPr>
            <w:r>
              <w:rPr>
                <w:rFonts w:ascii="仿宋_GB2312" w:hAnsi="仿宋_GB2312" w:cs="仿宋_GB2312" w:eastAsia="仿宋_GB2312"/>
                <w:sz w:val="20"/>
              </w:rPr>
              <w:t>（二）环境管理：大楼及公共区域的清洁、绿化养护、垃圾清理等。</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大楼及公共区域的清洁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）室内卫生保洁：包括办公楼各大厅、楼梯、电梯、电梯厅、过道、办公区的保洁。大厅地面、电梯厅墙面光亮清洁无尘、无水迹。</w:t>
            </w:r>
            <w:r>
              <w:rPr>
                <w:rFonts w:ascii="仿宋_GB2312" w:hAnsi="仿宋_GB2312" w:cs="仿宋_GB2312" w:eastAsia="仿宋_GB2312"/>
                <w:sz w:val="20"/>
              </w:rPr>
              <w:t>各层面电梯按键清洁无污，安全通道、楼梯清洁无垃圾及卫生死角，各过道、墙面、玻璃窗内必须洁净光亮、整洁，不得有任何污迹、烟头，烟道</w:t>
            </w:r>
            <w:r>
              <w:rPr>
                <w:rFonts w:ascii="仿宋_GB2312" w:hAnsi="仿宋_GB2312" w:cs="仿宋_GB2312" w:eastAsia="仿宋_GB2312"/>
                <w:sz w:val="20"/>
              </w:rPr>
              <w:t>通风口经常擦抹无积灰。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）室外卫生保洁：包括室外公共区域、室外道路、车库区域保洁。主楼所在周围的所有路面、通道、公共区域</w:t>
            </w:r>
            <w:r>
              <w:rPr>
                <w:rFonts w:ascii="仿宋_GB2312" w:hAnsi="仿宋_GB2312" w:cs="仿宋_GB2312" w:eastAsia="仿宋_GB2312"/>
                <w:sz w:val="20"/>
              </w:rPr>
              <w:t>24小时无纸屑、无烟头、无污 水、无瓜皮果壳、无痰迹，车库干净，无垃圾堆积。</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）公共卫生间保洁：公共卫生间保持清洁、无异味、无污垢。</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绿化养护</w:t>
            </w:r>
            <w:r>
              <w:rPr>
                <w:rFonts w:ascii="仿宋_GB2312" w:hAnsi="仿宋_GB2312" w:cs="仿宋_GB2312" w:eastAsia="仿宋_GB2312"/>
                <w:sz w:val="20"/>
              </w:rPr>
              <w:t>：区域内花草树木的绿化浇水、修剪、施肥、除草、巡查、病虫害防治</w:t>
            </w:r>
            <w:r>
              <w:rPr>
                <w:rFonts w:ascii="仿宋_GB2312" w:hAnsi="仿宋_GB2312" w:cs="仿宋_GB2312" w:eastAsia="仿宋_GB2312"/>
                <w:sz w:val="20"/>
              </w:rPr>
              <w:t>等。有专业的绿化人员对区域内的花草树木进行养护、修剪、施肥及虫害防治。</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3、</w:t>
            </w:r>
            <w:r>
              <w:rPr>
                <w:rFonts w:ascii="仿宋_GB2312" w:hAnsi="仿宋_GB2312" w:cs="仿宋_GB2312" w:eastAsia="仿宋_GB2312"/>
                <w:sz w:val="20"/>
              </w:rPr>
              <w:t>垃圾清运：将管理区域内垃圾按规定进行分类处理、分类</w:t>
            </w:r>
            <w:r>
              <w:rPr>
                <w:rFonts w:ascii="仿宋_GB2312" w:hAnsi="仿宋_GB2312" w:cs="仿宋_GB2312" w:eastAsia="仿宋_GB2312"/>
                <w:sz w:val="20"/>
              </w:rPr>
              <w:t>收集后按市政要求清运至指定地点。</w:t>
            </w:r>
          </w:p>
          <w:p>
            <w:pPr>
              <w:pStyle w:val="null3"/>
              <w:jc w:val="both"/>
            </w:pPr>
            <w:r>
              <w:rPr>
                <w:rFonts w:ascii="仿宋_GB2312" w:hAnsi="仿宋_GB2312" w:cs="仿宋_GB2312" w:eastAsia="仿宋_GB2312"/>
                <w:sz w:val="20"/>
              </w:rPr>
              <w:t>（三）客户服务：提供客户咨询、投诉处理、信息发布等服务。</w:t>
            </w:r>
          </w:p>
          <w:p>
            <w:pPr>
              <w:pStyle w:val="null3"/>
              <w:jc w:val="both"/>
            </w:pPr>
            <w:r>
              <w:rPr>
                <w:rFonts w:ascii="仿宋_GB2312" w:hAnsi="仿宋_GB2312" w:cs="仿宋_GB2312" w:eastAsia="仿宋_GB2312"/>
                <w:sz w:val="20"/>
              </w:rPr>
              <w:t>（四）应急处理：突发事件的处理，如火灾、停水、停电等。</w:t>
            </w:r>
          </w:p>
          <w:p>
            <w:pPr>
              <w:pStyle w:val="null3"/>
              <w:jc w:val="both"/>
            </w:pPr>
            <w:r>
              <w:rPr>
                <w:rFonts w:ascii="仿宋_GB2312" w:hAnsi="仿宋_GB2312" w:cs="仿宋_GB2312" w:eastAsia="仿宋_GB2312"/>
                <w:sz w:val="20"/>
              </w:rPr>
              <w:t>（五）设施设备服务：</w:t>
            </w:r>
            <w:r>
              <w:rPr>
                <w:rFonts w:ascii="仿宋_GB2312" w:hAnsi="仿宋_GB2312" w:cs="仿宋_GB2312" w:eastAsia="仿宋_GB2312"/>
                <w:sz w:val="20"/>
              </w:rPr>
              <w:t>做好设施设备保障工作</w:t>
            </w:r>
            <w:r>
              <w:rPr>
                <w:rFonts w:ascii="仿宋_GB2312" w:hAnsi="仿宋_GB2312" w:cs="仿宋_GB2312" w:eastAsia="仿宋_GB2312"/>
                <w:sz w:val="20"/>
              </w:rPr>
              <w:t>，</w:t>
            </w:r>
            <w:r>
              <w:rPr>
                <w:rFonts w:ascii="仿宋_GB2312" w:hAnsi="仿宋_GB2312" w:cs="仿宋_GB2312" w:eastAsia="仿宋_GB2312"/>
                <w:sz w:val="20"/>
              </w:rPr>
              <w:t>包括</w:t>
            </w:r>
            <w:r>
              <w:rPr>
                <w:rFonts w:ascii="仿宋_GB2312" w:hAnsi="仿宋_GB2312" w:cs="仿宋_GB2312" w:eastAsia="仿宋_GB2312"/>
                <w:sz w:val="20"/>
              </w:rPr>
              <w:t>水、电服务、基础设备维修、维护等工作。</w:t>
            </w:r>
          </w:p>
          <w:p>
            <w:pPr>
              <w:pStyle w:val="null3"/>
              <w:jc w:val="both"/>
            </w:pPr>
            <w:r>
              <w:rPr>
                <w:rFonts w:ascii="仿宋_GB2312" w:hAnsi="仿宋_GB2312" w:cs="仿宋_GB2312" w:eastAsia="仿宋_GB2312"/>
                <w:sz w:val="20"/>
              </w:rPr>
              <w:t>（六）餐厅服务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餐厅保洁：餐厅应确保就餐环境整洁、卫生，避免出现油污、垃圾等污染物，防止就餐人员因此滑倒或受伤。对于餐厅内的设施设备，应定期进行安全检查和维护，确保其稳固、可靠，防止因设备故障导致顾客受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）厨师：负责各种菜品烹制，出餐及协助加餐、岗位卫生等，按质、按量保证菜品供应，保质保鲜。</w:t>
            </w:r>
          </w:p>
          <w:p>
            <w:pPr>
              <w:pStyle w:val="null3"/>
              <w:jc w:val="both"/>
            </w:pPr>
            <w:r>
              <w:rPr>
                <w:rFonts w:ascii="仿宋_GB2312" w:hAnsi="仿宋_GB2312" w:cs="仿宋_GB2312" w:eastAsia="仿宋_GB2312"/>
                <w:sz w:val="20"/>
              </w:rPr>
              <w:t>三、人员配置要求</w:t>
            </w:r>
          </w:p>
          <w:tbl>
            <w:tblPr>
              <w:tblInd w:type="dxa" w:w="135"/>
              <w:tblBorders>
                <w:top w:val="none" w:color="000000" w:sz="4"/>
                <w:left w:val="none" w:color="000000" w:sz="4"/>
                <w:bottom w:val="none" w:color="000000" w:sz="4"/>
                <w:right w:val="none" w:color="000000" w:sz="4"/>
                <w:insideH w:val="none"/>
                <w:insideV w:val="none"/>
              </w:tblBorders>
            </w:tblPr>
            <w:tblGrid>
              <w:gridCol w:w="638"/>
              <w:gridCol w:w="638"/>
              <w:gridCol w:w="376"/>
              <w:gridCol w:w="901"/>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人员类别</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要求</w:t>
                  </w:r>
                </w:p>
              </w:tc>
              <w:tc>
                <w:tcPr>
                  <w:tcW w:type="dxa" w:w="9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工作内容</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安保人员</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男性，年龄</w:t>
                  </w:r>
                  <w:r>
                    <w:rPr>
                      <w:rFonts w:ascii="仿宋_GB2312" w:hAnsi="仿宋_GB2312" w:cs="仿宋_GB2312" w:eastAsia="仿宋_GB2312"/>
                      <w:sz w:val="20"/>
                    </w:rPr>
                    <w:t>18-55</w:t>
                  </w:r>
                  <w:r>
                    <w:rPr>
                      <w:rFonts w:ascii="仿宋_GB2312" w:hAnsi="仿宋_GB2312" w:cs="仿宋_GB2312" w:eastAsia="仿宋_GB2312"/>
                      <w:sz w:val="20"/>
                    </w:rPr>
                    <w:t>周岁以下，身体健康、责任心强、体检合格。</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执行</w:t>
                  </w:r>
                  <w:r>
                    <w:rPr>
                      <w:rFonts w:ascii="仿宋_GB2312" w:hAnsi="仿宋_GB2312" w:cs="仿宋_GB2312" w:eastAsia="仿宋_GB2312"/>
                      <w:sz w:val="20"/>
                    </w:rPr>
                    <w:t>1-5层巡逻、门禁管理及监控值班任务</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具备基本的法律知识，掌握保安行业的相关政策、规定和基本的业务技能；</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具备与岗位职责相应的观察、发现、处置问题能力；</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具备熟练使用基本消防设备、通讯器材、技术防范设施设备和相关防卫器械技能；</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具有</w:t>
                  </w:r>
                  <w:r>
                    <w:rPr>
                      <w:rFonts w:ascii="仿宋_GB2312" w:hAnsi="仿宋_GB2312" w:cs="仿宋_GB2312" w:eastAsia="仿宋_GB2312"/>
                      <w:sz w:val="20"/>
                    </w:rPr>
                    <w:t>相关</w:t>
                  </w:r>
                  <w:r>
                    <w:rPr>
                      <w:rFonts w:ascii="仿宋_GB2312" w:hAnsi="仿宋_GB2312" w:cs="仿宋_GB2312" w:eastAsia="仿宋_GB2312"/>
                      <w:sz w:val="20"/>
                    </w:rPr>
                    <w:t>工作经验。</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保洁人员</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男女不限，年龄在</w:t>
                  </w:r>
                  <w:r>
                    <w:rPr>
                      <w:rFonts w:ascii="仿宋_GB2312" w:hAnsi="仿宋_GB2312" w:cs="仿宋_GB2312" w:eastAsia="仿宋_GB2312"/>
                      <w:sz w:val="20"/>
                    </w:rPr>
                    <w:t>18-55</w:t>
                  </w:r>
                  <w:r>
                    <w:rPr>
                      <w:rFonts w:ascii="仿宋_GB2312" w:hAnsi="仿宋_GB2312" w:cs="仿宋_GB2312" w:eastAsia="仿宋_GB2312"/>
                      <w:sz w:val="20"/>
                    </w:rPr>
                    <w:t>周岁以下，责任心强，身体健康，体检合格，具有初中以上文化，</w:t>
                  </w:r>
                  <w:r>
                    <w:rPr>
                      <w:rFonts w:ascii="仿宋_GB2312" w:hAnsi="仿宋_GB2312" w:cs="仿宋_GB2312" w:eastAsia="仿宋_GB2312"/>
                      <w:sz w:val="20"/>
                    </w:rPr>
                    <w:t>能吃苦耐劳</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负责</w:t>
                  </w:r>
                  <w:r>
                    <w:rPr>
                      <w:rFonts w:ascii="仿宋_GB2312" w:hAnsi="仿宋_GB2312" w:cs="仿宋_GB2312" w:eastAsia="仿宋_GB2312"/>
                      <w:sz w:val="20"/>
                    </w:rPr>
                    <w:t>1-5层日常保洁工作，外围卫生及垃圾清理工作</w:t>
                  </w:r>
                  <w:r>
                    <w:rPr>
                      <w:rFonts w:ascii="仿宋_GB2312" w:hAnsi="仿宋_GB2312" w:cs="仿宋_GB2312" w:eastAsia="仿宋_GB2312"/>
                      <w:sz w:val="20"/>
                    </w:rPr>
                    <w:t>；</w:t>
                  </w:r>
                  <w:r>
                    <w:br/>
                  </w:r>
                  <w:r>
                    <w:rPr>
                      <w:rFonts w:ascii="仿宋_GB2312" w:hAnsi="仿宋_GB2312" w:cs="仿宋_GB2312" w:eastAsia="仿宋_GB2312"/>
                      <w:sz w:val="20"/>
                    </w:rPr>
                    <w:t>2.</w:t>
                  </w:r>
                  <w:r>
                    <w:rPr>
                      <w:rFonts w:ascii="仿宋_GB2312" w:hAnsi="仿宋_GB2312" w:cs="仿宋_GB2312" w:eastAsia="仿宋_GB2312"/>
                      <w:sz w:val="20"/>
                    </w:rPr>
                    <w:t>负责对所管区域内的消杀、消毒及灭蚊工作</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.具有</w:t>
                  </w:r>
                  <w:r>
                    <w:rPr>
                      <w:rFonts w:ascii="仿宋_GB2312" w:hAnsi="仿宋_GB2312" w:cs="仿宋_GB2312" w:eastAsia="仿宋_GB2312"/>
                      <w:sz w:val="20"/>
                    </w:rPr>
                    <w:t>相关</w:t>
                  </w:r>
                  <w:r>
                    <w:rPr>
                      <w:rFonts w:ascii="仿宋_GB2312" w:hAnsi="仿宋_GB2312" w:cs="仿宋_GB2312" w:eastAsia="仿宋_GB2312"/>
                      <w:sz w:val="20"/>
                    </w:rPr>
                    <w:t>工作经验。</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水电工</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男女不限，年龄在</w:t>
                  </w:r>
                  <w:r>
                    <w:rPr>
                      <w:rFonts w:ascii="仿宋_GB2312" w:hAnsi="仿宋_GB2312" w:cs="仿宋_GB2312" w:eastAsia="仿宋_GB2312"/>
                      <w:sz w:val="20"/>
                    </w:rPr>
                    <w:t>55</w:t>
                  </w:r>
                  <w:r>
                    <w:rPr>
                      <w:rFonts w:ascii="仿宋_GB2312" w:hAnsi="仿宋_GB2312" w:cs="仿宋_GB2312" w:eastAsia="仿宋_GB2312"/>
                      <w:sz w:val="20"/>
                    </w:rPr>
                    <w:t>周岁以下</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对公区设施设备等进行维护保养</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水电工须提供特种作业操作证</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.具有</w:t>
                  </w:r>
                  <w:r>
                    <w:rPr>
                      <w:rFonts w:ascii="仿宋_GB2312" w:hAnsi="仿宋_GB2312" w:cs="仿宋_GB2312" w:eastAsia="仿宋_GB2312"/>
                      <w:sz w:val="20"/>
                    </w:rPr>
                    <w:t>相关</w:t>
                  </w:r>
                  <w:r>
                    <w:rPr>
                      <w:rFonts w:ascii="仿宋_GB2312" w:hAnsi="仿宋_GB2312" w:cs="仿宋_GB2312" w:eastAsia="仿宋_GB2312"/>
                      <w:sz w:val="20"/>
                    </w:rPr>
                    <w:t>工作经验。</w:t>
                  </w:r>
                  <w:r>
                    <w:rPr>
                      <w:rFonts w:ascii="仿宋_GB2312" w:hAnsi="仿宋_GB2312" w:cs="仿宋_GB2312" w:eastAsia="仿宋_GB2312"/>
                      <w:sz w:val="28"/>
                    </w:rPr>
                    <w:t xml:space="preserve">  </w:t>
                  </w:r>
                </w:p>
                <w:p>
                  <w:pPr>
                    <w:pStyle w:val="null3"/>
                    <w:jc w:val="both"/>
                  </w:pPr>
                  <w:r>
                    <w:rPr>
                      <w:rFonts w:ascii="仿宋_GB2312" w:hAnsi="仿宋_GB2312" w:cs="仿宋_GB2312" w:eastAsia="仿宋_GB2312"/>
                      <w:sz w:val="20"/>
                    </w:rPr>
                    <w:t>（可为兼职人员）</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物业经理</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男女不限，</w:t>
                  </w:r>
                  <w:r>
                    <w:rPr>
                      <w:rFonts w:ascii="仿宋_GB2312" w:hAnsi="仿宋_GB2312" w:cs="仿宋_GB2312" w:eastAsia="仿宋_GB2312"/>
                      <w:sz w:val="20"/>
                    </w:rPr>
                    <w:t>45周岁以下； 本科及以上学历； 有三年从事物业管理经历，知识面宽，专业职能熟练，有较强的组织管理能力、协调能力。</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全面负责本项目承接范围内各岗位协调管理工作；</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具有</w:t>
                  </w:r>
                  <w:r>
                    <w:rPr>
                      <w:rFonts w:ascii="仿宋_GB2312" w:hAnsi="仿宋_GB2312" w:cs="仿宋_GB2312" w:eastAsia="仿宋_GB2312"/>
                      <w:sz w:val="20"/>
                    </w:rPr>
                    <w:t>相关</w:t>
                  </w:r>
                  <w:r>
                    <w:rPr>
                      <w:rFonts w:ascii="仿宋_GB2312" w:hAnsi="仿宋_GB2312" w:cs="仿宋_GB2312" w:eastAsia="仿宋_GB2312"/>
                      <w:sz w:val="20"/>
                    </w:rPr>
                    <w:t>工作经验。</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绿化管理人员</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男女不限，年龄在</w:t>
                  </w:r>
                  <w:r>
                    <w:rPr>
                      <w:rFonts w:ascii="仿宋_GB2312" w:hAnsi="仿宋_GB2312" w:cs="仿宋_GB2312" w:eastAsia="仿宋_GB2312"/>
                      <w:sz w:val="20"/>
                    </w:rPr>
                    <w:t>18-55</w:t>
                  </w:r>
                  <w:r>
                    <w:rPr>
                      <w:rFonts w:ascii="仿宋_GB2312" w:hAnsi="仿宋_GB2312" w:cs="仿宋_GB2312" w:eastAsia="仿宋_GB2312"/>
                      <w:sz w:val="20"/>
                    </w:rPr>
                    <w:t>周岁以下，爱岗敬业，有一定的绿化专业知识。</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负责服务范围内的绿化养护等</w:t>
                  </w:r>
                  <w:r>
                    <w:br/>
                  </w:r>
                  <w:r>
                    <w:rPr>
                      <w:rFonts w:ascii="仿宋_GB2312" w:hAnsi="仿宋_GB2312" w:cs="仿宋_GB2312" w:eastAsia="仿宋_GB2312"/>
                      <w:sz w:val="20"/>
                    </w:rPr>
                    <w:t>（可为兼职人员）</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厨师</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男女不限具有一年以上同岗位工作经验</w:t>
                  </w:r>
                  <w:r>
                    <w:rPr>
                      <w:rFonts w:ascii="仿宋_GB2312" w:hAnsi="仿宋_GB2312" w:cs="仿宋_GB2312" w:eastAsia="仿宋_GB2312"/>
                      <w:sz w:val="20"/>
                    </w:rPr>
                    <w:t>，年龄在</w:t>
                  </w:r>
                  <w:r>
                    <w:rPr>
                      <w:rFonts w:ascii="仿宋_GB2312" w:hAnsi="仿宋_GB2312" w:cs="仿宋_GB2312" w:eastAsia="仿宋_GB2312"/>
                      <w:sz w:val="20"/>
                    </w:rPr>
                    <w:t>50</w:t>
                  </w:r>
                  <w:r>
                    <w:rPr>
                      <w:rFonts w:ascii="仿宋_GB2312" w:hAnsi="仿宋_GB2312" w:cs="仿宋_GB2312" w:eastAsia="仿宋_GB2312"/>
                      <w:sz w:val="20"/>
                    </w:rPr>
                    <w:t>周岁以下。</w:t>
                  </w:r>
                </w:p>
              </w:tc>
              <w:tc>
                <w:tcPr>
                  <w:tcW w:type="dxa" w:w="9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负责各种菜品烹制，出餐及协助加餐、岗位卫生等</w:t>
                  </w:r>
                  <w:r>
                    <w:rPr>
                      <w:rFonts w:ascii="仿宋_GB2312" w:hAnsi="仿宋_GB2312" w:cs="仿宋_GB2312" w:eastAsia="仿宋_GB2312"/>
                      <w:sz w:val="20"/>
                    </w:rPr>
                    <w:t>，按质、按量保证菜品供应，保质保鲜</w:t>
                  </w:r>
                </w:p>
                <w:p>
                  <w:pPr>
                    <w:pStyle w:val="null3"/>
                    <w:jc w:val="both"/>
                  </w:pPr>
                  <w:r>
                    <w:rPr>
                      <w:rFonts w:ascii="仿宋_GB2312" w:hAnsi="仿宋_GB2312" w:cs="仿宋_GB2312" w:eastAsia="仿宋_GB2312"/>
                      <w:sz w:val="20"/>
                    </w:rPr>
                    <w:t>具备高级及以上厨师证及健康证</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.具有</w:t>
                  </w:r>
                  <w:r>
                    <w:rPr>
                      <w:rFonts w:ascii="仿宋_GB2312" w:hAnsi="仿宋_GB2312" w:cs="仿宋_GB2312" w:eastAsia="仿宋_GB2312"/>
                      <w:sz w:val="20"/>
                    </w:rPr>
                    <w:t>相关</w:t>
                  </w:r>
                  <w:r>
                    <w:rPr>
                      <w:rFonts w:ascii="仿宋_GB2312" w:hAnsi="仿宋_GB2312" w:cs="仿宋_GB2312" w:eastAsia="仿宋_GB2312"/>
                      <w:sz w:val="20"/>
                    </w:rPr>
                    <w:t>工作经验。</w:t>
                  </w:r>
                </w:p>
              </w:tc>
            </w:tr>
          </w:tbl>
          <w:p>
            <w:pPr>
              <w:pStyle w:val="null3"/>
              <w:jc w:val="both"/>
            </w:pPr>
            <w:r>
              <w:rPr>
                <w:rFonts w:ascii="仿宋_GB2312" w:hAnsi="仿宋_GB2312" w:cs="仿宋_GB2312" w:eastAsia="仿宋_GB2312"/>
                <w:sz w:val="20"/>
              </w:rPr>
              <w:t>六、服务管理费用构成</w:t>
            </w:r>
          </w:p>
          <w:p>
            <w:pPr>
              <w:pStyle w:val="null3"/>
              <w:jc w:val="both"/>
            </w:pPr>
            <w:r>
              <w:rPr>
                <w:rFonts w:ascii="仿宋_GB2312" w:hAnsi="仿宋_GB2312" w:cs="仿宋_GB2312" w:eastAsia="仿宋_GB2312"/>
                <w:sz w:val="20"/>
              </w:rPr>
              <w:t>(一)管理费用：包括物业管理人员对公共区域进行巡视、检查、维修及更新发生的账务管理，物业档案资料等部分管理服务费用。</w:t>
            </w:r>
          </w:p>
          <w:p>
            <w:pPr>
              <w:pStyle w:val="null3"/>
              <w:jc w:val="both"/>
            </w:pPr>
            <w:r>
              <w:rPr>
                <w:rFonts w:ascii="仿宋_GB2312" w:hAnsi="仿宋_GB2312" w:cs="仿宋_GB2312" w:eastAsia="仿宋_GB2312"/>
                <w:sz w:val="20"/>
              </w:rPr>
              <w:t>(二)清洁费用和绿化养护费用：清洁费用涉及办公楼公共区域的环境清扫，如工具费、工作人员用品费、清理垃圾费等。绿化费用则包括绿化工具费、水费、农药费、化肥费、杂草清运费和景观维护费等。</w:t>
            </w:r>
          </w:p>
          <w:p>
            <w:pPr>
              <w:pStyle w:val="null3"/>
              <w:jc w:val="both"/>
            </w:pPr>
            <w:r>
              <w:rPr>
                <w:rFonts w:ascii="仿宋_GB2312" w:hAnsi="仿宋_GB2312" w:cs="仿宋_GB2312" w:eastAsia="仿宋_GB2312"/>
                <w:sz w:val="20"/>
              </w:rPr>
              <w:t>(三)办公费用及员工薪酬福利：办公费用涵盖交通费用、通信费用、办公用品费、水电费等。员工薪酬则包括人事费、基本工资、社会保险费、福利费、加班费和服装费等。</w:t>
            </w:r>
          </w:p>
          <w:p>
            <w:pPr>
              <w:pStyle w:val="null3"/>
              <w:jc w:val="both"/>
            </w:pPr>
            <w:r>
              <w:rPr>
                <w:rFonts w:ascii="仿宋_GB2312" w:hAnsi="仿宋_GB2312" w:cs="仿宋_GB2312" w:eastAsia="仿宋_GB2312"/>
                <w:sz w:val="20"/>
              </w:rPr>
              <w:t>(四)法定税费：由国家统一规定的税费。</w:t>
            </w:r>
          </w:p>
          <w:p>
            <w:pPr>
              <w:pStyle w:val="null3"/>
              <w:jc w:val="both"/>
            </w:pPr>
            <w:r>
              <w:rPr>
                <w:rFonts w:ascii="仿宋_GB2312" w:hAnsi="仿宋_GB2312" w:cs="仿宋_GB2312" w:eastAsia="仿宋_GB2312"/>
                <w:sz w:val="20"/>
              </w:rPr>
              <w:t>(五)其它费用：根据与物业管理服务的约定，可能还包括其它所产生服务项目费用。</w:t>
            </w:r>
          </w:p>
          <w:p>
            <w:pPr>
              <w:pStyle w:val="null3"/>
              <w:jc w:val="both"/>
            </w:pPr>
            <w:r>
              <w:rPr>
                <w:rFonts w:ascii="仿宋_GB2312" w:hAnsi="仿宋_GB2312" w:cs="仿宋_GB2312" w:eastAsia="仿宋_GB2312"/>
                <w:sz w:val="20"/>
              </w:rPr>
              <w:t>(六)物业服务企业利润。</w:t>
            </w:r>
          </w:p>
          <w:p>
            <w:pPr>
              <w:pStyle w:val="null3"/>
              <w:jc w:val="both"/>
            </w:pPr>
            <w:r>
              <w:rPr>
                <w:rFonts w:ascii="仿宋_GB2312" w:hAnsi="仿宋_GB2312" w:cs="仿宋_GB2312" w:eastAsia="仿宋_GB2312"/>
                <w:sz w:val="20"/>
              </w:rPr>
              <w:t>七、</w:t>
            </w:r>
            <w:r>
              <w:rPr>
                <w:rFonts w:ascii="仿宋_GB2312" w:hAnsi="仿宋_GB2312" w:cs="仿宋_GB2312" w:eastAsia="仿宋_GB2312"/>
                <w:sz w:val="20"/>
              </w:rPr>
              <w:t>总体要求</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应建立健全组织机构，建立健全各项管理制度、工作标准，并能根据的行业形象要求及规范，保证文明工作。</w:t>
            </w:r>
            <w:r>
              <w:br/>
            </w:r>
            <w:r>
              <w:rPr>
                <w:rFonts w:ascii="仿宋_GB2312" w:hAnsi="仿宋_GB2312" w:cs="仿宋_GB2312" w:eastAsia="仿宋_GB2312"/>
                <w:sz w:val="20"/>
              </w:rPr>
              <w:t>（二）</w:t>
            </w:r>
            <w:r>
              <w:rPr>
                <w:rFonts w:ascii="仿宋_GB2312" w:hAnsi="仿宋_GB2312" w:cs="仿宋_GB2312" w:eastAsia="仿宋_GB2312"/>
                <w:sz w:val="20"/>
              </w:rPr>
              <w:t>上岗</w:t>
            </w:r>
            <w:r>
              <w:rPr>
                <w:rFonts w:ascii="仿宋_GB2312" w:hAnsi="仿宋_GB2312" w:cs="仿宋_GB2312" w:eastAsia="仿宋_GB2312"/>
                <w:sz w:val="20"/>
              </w:rPr>
              <w:t>人员需统一服装，仪表仪容整洁规范，佩带明显标志上岗，工作规范。服务人员</w:t>
            </w:r>
            <w:r>
              <w:rPr>
                <w:rFonts w:ascii="仿宋_GB2312" w:hAnsi="仿宋_GB2312" w:cs="仿宋_GB2312" w:eastAsia="仿宋_GB2312"/>
                <w:sz w:val="20"/>
              </w:rPr>
              <w:t>100%经过岗前培训，合格后才可上岗。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上岗</w:t>
            </w:r>
            <w:r>
              <w:rPr>
                <w:rFonts w:ascii="仿宋_GB2312" w:hAnsi="仿宋_GB2312" w:cs="仿宋_GB2312" w:eastAsia="仿宋_GB2312"/>
                <w:sz w:val="20"/>
              </w:rPr>
              <w:t>人员形象得体，礼仪举止行为规范、站姿稳健、坐姿得体，精神状态良好。微笑服务、礼貌用语，沟通交流热情大方。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）应确保岗位出勤率，有完整的各类工作记录。不得出现上班时间做与工作无关的事，不得出现空岗、串岗、睡岗、擅离职守等情况</w:t>
            </w:r>
            <w:r>
              <w:rPr>
                <w:rFonts w:ascii="仿宋_GB2312" w:hAnsi="仿宋_GB2312" w:cs="仿宋_GB2312" w:eastAsia="仿宋_GB2312"/>
                <w:sz w:val="20"/>
              </w:rPr>
              <w:t>，</w:t>
            </w:r>
            <w:r>
              <w:rPr>
                <w:rFonts w:ascii="仿宋_GB2312" w:hAnsi="仿宋_GB2312" w:cs="仿宋_GB2312" w:eastAsia="仿宋_GB2312"/>
                <w:sz w:val="20"/>
              </w:rPr>
              <w:t>严禁酒后上岗，严禁在岗期间酗酒、吸烟，树立良好的工作形象。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）须对其在服务期内所发生的</w:t>
            </w:r>
            <w:r>
              <w:rPr>
                <w:rFonts w:ascii="仿宋_GB2312" w:hAnsi="仿宋_GB2312" w:cs="仿宋_GB2312" w:eastAsia="仿宋_GB2312"/>
                <w:sz w:val="20"/>
              </w:rPr>
              <w:t>一切卫生</w:t>
            </w:r>
            <w:r>
              <w:rPr>
                <w:rFonts w:ascii="仿宋_GB2312" w:hAnsi="仿宋_GB2312" w:cs="仿宋_GB2312" w:eastAsia="仿宋_GB2312"/>
                <w:sz w:val="20"/>
              </w:rPr>
              <w:t>安全负责。</w:t>
            </w:r>
            <w:r>
              <w:br/>
            </w: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w:t>
            </w:r>
            <w:r>
              <w:rPr>
                <w:rFonts w:ascii="仿宋_GB2312" w:hAnsi="仿宋_GB2312" w:cs="仿宋_GB2312" w:eastAsia="仿宋_GB2312"/>
                <w:sz w:val="20"/>
              </w:rPr>
              <w:t>安保人员提供食宿，其余人员含餐不提供住宿。</w:t>
            </w:r>
          </w:p>
          <w:p>
            <w:pPr>
              <w:pStyle w:val="null3"/>
              <w:jc w:val="both"/>
            </w:pPr>
            <w:r>
              <w:rPr>
                <w:rFonts w:ascii="仿宋_GB2312" w:hAnsi="仿宋_GB2312" w:cs="仿宋_GB2312" w:eastAsia="仿宋_GB2312"/>
                <w:sz w:val="20"/>
              </w:rPr>
              <w:t>★二、商务及其他要求</w:t>
            </w:r>
          </w:p>
          <w:p>
            <w:pPr>
              <w:pStyle w:val="null3"/>
              <w:jc w:val="both"/>
            </w:pPr>
            <w:r>
              <w:rPr>
                <w:rFonts w:ascii="仿宋_GB2312" w:hAnsi="仿宋_GB2312" w:cs="仿宋_GB2312" w:eastAsia="仿宋_GB2312"/>
                <w:sz w:val="20"/>
              </w:rPr>
              <w:t>（一）质量要求：符合国家和地方相关规范和行业标准要求。</w:t>
            </w:r>
          </w:p>
          <w:p>
            <w:pPr>
              <w:pStyle w:val="null3"/>
              <w:jc w:val="both"/>
            </w:pPr>
            <w:r>
              <w:rPr>
                <w:rFonts w:ascii="仿宋_GB2312" w:hAnsi="仿宋_GB2312" w:cs="仿宋_GB2312" w:eastAsia="仿宋_GB2312"/>
                <w:sz w:val="20"/>
              </w:rPr>
              <w:t>（二）服务期：</w:t>
            </w:r>
            <w:r>
              <w:rPr>
                <w:rFonts w:ascii="仿宋_GB2312" w:hAnsi="仿宋_GB2312" w:cs="仿宋_GB2312" w:eastAsia="仿宋_GB2312"/>
                <w:sz w:val="20"/>
              </w:rPr>
              <w:t>服务期限两年（合同一年一签）</w:t>
            </w:r>
            <w:r>
              <w:br/>
            </w:r>
            <w:r>
              <w:rPr>
                <w:rFonts w:ascii="仿宋_GB2312" w:hAnsi="仿宋_GB2312" w:cs="仿宋_GB2312" w:eastAsia="仿宋_GB2312"/>
                <w:sz w:val="20"/>
              </w:rPr>
              <w:t>（三）合同价款：</w:t>
            </w:r>
            <w:r>
              <w:br/>
            </w:r>
            <w:r>
              <w:rPr>
                <w:rFonts w:ascii="仿宋_GB2312" w:hAnsi="仿宋_GB2312" w:cs="仿宋_GB2312" w:eastAsia="仿宋_GB2312"/>
                <w:sz w:val="20"/>
              </w:rPr>
              <w:t>3.1合同总价包括：项目实施费及其他费用等从项目实施至验收合格等所有其他有关各项的含税费用。</w:t>
            </w:r>
          </w:p>
          <w:p>
            <w:pPr>
              <w:pStyle w:val="null3"/>
              <w:jc w:val="both"/>
            </w:pPr>
            <w:r>
              <w:rPr>
                <w:rFonts w:ascii="仿宋_GB2312" w:hAnsi="仿宋_GB2312" w:cs="仿宋_GB2312" w:eastAsia="仿宋_GB2312"/>
                <w:sz w:val="20"/>
              </w:rPr>
              <w:t>3.2合同总价一次包死，不受市场价格、工作量变化等其它因素的影响。</w:t>
            </w:r>
          </w:p>
          <w:p>
            <w:pPr>
              <w:pStyle w:val="null3"/>
              <w:jc w:val="both"/>
            </w:pPr>
            <w:r>
              <w:rPr>
                <w:rFonts w:ascii="仿宋_GB2312" w:hAnsi="仿宋_GB2312" w:cs="仿宋_GB2312" w:eastAsia="仿宋_GB2312"/>
                <w:sz w:val="20"/>
              </w:rPr>
              <w:t>（四）付款方式：</w:t>
            </w:r>
          </w:p>
          <w:p>
            <w:pPr>
              <w:pStyle w:val="null3"/>
              <w:jc w:val="both"/>
            </w:pPr>
            <w:r>
              <w:rPr>
                <w:rFonts w:ascii="仿宋_GB2312" w:hAnsi="仿宋_GB2312" w:cs="仿宋_GB2312" w:eastAsia="仿宋_GB2312"/>
                <w:sz w:val="20"/>
              </w:rPr>
              <w:t>4.1、付款方式：</w:t>
            </w:r>
            <w:r>
              <w:rPr>
                <w:rFonts w:ascii="仿宋_GB2312" w:hAnsi="仿宋_GB2312" w:cs="仿宋_GB2312" w:eastAsia="仿宋_GB2312"/>
                <w:sz w:val="20"/>
              </w:rPr>
              <w:t>每季度对上季度人员上岗情况考勤确认，进行上季度人员服务费用确认，到账日期以实际付款时间为准。</w:t>
            </w:r>
            <w:r>
              <w:br/>
            </w:r>
            <w:r>
              <w:rPr>
                <w:rFonts w:ascii="仿宋_GB2312" w:hAnsi="仿宋_GB2312" w:cs="仿宋_GB2312" w:eastAsia="仿宋_GB2312"/>
                <w:sz w:val="20"/>
              </w:rPr>
              <w:t>4.2、结算方式：采购人与成交供应商直接结算，发票直开采购人。</w:t>
            </w:r>
          </w:p>
          <w:p>
            <w:pPr>
              <w:pStyle w:val="null3"/>
              <w:jc w:val="both"/>
            </w:pPr>
            <w:r>
              <w:rPr>
                <w:rFonts w:ascii="仿宋_GB2312" w:hAnsi="仿宋_GB2312" w:cs="仿宋_GB2312" w:eastAsia="仿宋_GB2312"/>
                <w:sz w:val="20"/>
              </w:rPr>
              <w:t>4.3、支付方式：银行转账。</w:t>
            </w:r>
          </w:p>
          <w:p>
            <w:pPr>
              <w:pStyle w:val="null3"/>
              <w:jc w:val="both"/>
            </w:pPr>
            <w:r>
              <w:rPr>
                <w:rFonts w:ascii="仿宋_GB2312" w:hAnsi="仿宋_GB2312" w:cs="仿宋_GB2312" w:eastAsia="仿宋_GB2312"/>
                <w:sz w:val="20"/>
              </w:rPr>
              <w:t>（五）违约责任</w:t>
            </w:r>
          </w:p>
          <w:p>
            <w:pPr>
              <w:pStyle w:val="null3"/>
              <w:jc w:val="both"/>
            </w:pPr>
            <w:r>
              <w:rPr>
                <w:rFonts w:ascii="仿宋_GB2312" w:hAnsi="仿宋_GB2312" w:cs="仿宋_GB2312" w:eastAsia="仿宋_GB2312"/>
                <w:sz w:val="20"/>
              </w:rPr>
              <w:t>5.1、依据《中华人民共和国民法典》、《中华人民共和国政府采购法》的相关条款和本合同约定的相关条款执行。</w:t>
            </w:r>
          </w:p>
          <w:p>
            <w:pPr>
              <w:pStyle w:val="null3"/>
            </w:pPr>
            <w:r>
              <w:rPr>
                <w:rFonts w:ascii="仿宋_GB2312" w:hAnsi="仿宋_GB2312" w:cs="仿宋_GB2312" w:eastAsia="仿宋_GB2312"/>
                <w:sz w:val="20"/>
              </w:rPr>
              <w:t>5.2、成交供应商未按合同要求履行，不符合磋商技术要求，成交供应商必须无条件更换人员或设备，提高技术，完善质量，否则，采购人有权终止合同，并对成交供应商的违约行为进行追究。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服务期限两年（合同一年一签）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每季度对上季度人员上岗情况考勤确认，进行上季度人员服务费用确认，到账日期以实际付款时间为准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每季度对上季度人员上岗情况考勤确认，进行上季度人员服务费用确认，到账日期以实际付款时间为准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每季度对上季度人员上岗情况考勤确认，进行上季度人员服务费用确认，到账日期以实际付款时间为准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每季度对上季度人员上岗情况考勤确认，进行上季度人员服务费用确认，到账日期以实际付款时间为准</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2024年度经会计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2025年1月至今至少一个月的纳税证明或完税证明（任意税种）；依法免税的单位应提供相关文件证明；供应商为零申报企业提供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2025年1月至今至少一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具备履行合同所必须的设备和专业技术能力的说明及承诺。此项可提供基本资格条件承诺函。供应商需在项目电子化交易系统中按要求上传相应证明文件并进行电子签章。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本项目不接受联合体磋商（提供非联合体承诺书）。供应商需在项目电子化交易系统中按要求上传相应证明文件并进行电子签章。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本项目专门面向中小企业采购（提供中小企业声明函），非中小企业单位（监狱企业、残疾人福利单位除外）不得参与。供应商需在项目电子化交易系统中按要求上传相应证明文件并进行电子签章。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四、供应商资格证明文件.docx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w:t>
            </w:r>
          </w:p>
        </w:tc>
        <w:tc>
          <w:tcPr>
            <w:tcW w:type="dxa" w:w="3322"/>
          </w:tcPr>
          <w:p>
            <w:pPr>
              <w:pStyle w:val="null3"/>
            </w:pPr>
            <w:r>
              <w:rPr>
                <w:rFonts w:ascii="仿宋_GB2312" w:hAnsi="仿宋_GB2312" w:cs="仿宋_GB2312" w:eastAsia="仿宋_GB2312"/>
              </w:rPr>
              <w:t>供应商名称与获取磋商文件的单位名称一致的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响应有效期是否满足磋商响应文件</w:t>
            </w:r>
          </w:p>
        </w:tc>
        <w:tc>
          <w:tcPr>
            <w:tcW w:type="dxa" w:w="3322"/>
          </w:tcPr>
          <w:p>
            <w:pPr>
              <w:pStyle w:val="null3"/>
            </w:pPr>
            <w:r>
              <w:rPr>
                <w:rFonts w:ascii="仿宋_GB2312" w:hAnsi="仿宋_GB2312" w:cs="仿宋_GB2312" w:eastAsia="仿宋_GB2312"/>
              </w:rPr>
              <w:t>响应有效期满足磋商响应文件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标的清单 报价表 一、分项报价表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三、磋商要求偏离表.docx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投标人提出针对于本项目的物业服务总体计划方案，方案内容包含①服务目标②服务计划③服务理念及特色④重难点分析及保障措施。 二、评审标准 1、完整性：方案须全面，对评审内容中的各项要求有详细描述； 2、可实施性：切合本项目实际情况，实施步骤清晰、合理； 3、针对性：方案能够紧扣项目实际情况，内容科学合理。 三、赋分标准（满分9分） ①服务目标：每完全满足一个评审标准得0.5分，满分1.5分； ②服务计划：每完全满足一个评审标准得1分，满分3分； ③服务理念及特色：每完全满足一个评审标准得0.5分，满分1.5分； ④重难点分析及保障措施：每完全满足一个评审标准得1分，满分3分；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一、评审内容 服务方案针对本项目提供保洁服务方案，内容包含①室内公用区域②室外公用区域③公共卫生间清洁服务 ④餐厅保洁服务⑤垃圾分类管理。 二、评审标准 1、完整性：方案须全面，对评审内容中的各项要求有详细描述及说明； 2、可实施性：切合本项目实际情况，实施步骤清晰、合理； 3、针对性：方案能够紧扣项目实际情况，内容科学合理。 三、赋分标准（满分7.5分） ①室内公用区域及办公区域：每完全满足一项评审标准得0.5分，满分1.5分； ②室外公用区域：每完全满足一项评审标准得0.5分，满分1.5分； ③公共卫生间清洁服务：每完全满足一项评审标准得0.5分，满分1.5分； ④餐厅保洁服务：每完全满足一项评审标准得0.5分，满分1.5分； ⑤垃圾分类管理：每完全满足一项评审标准得0.5分，满分1.5分；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绿化服务方案</w:t>
            </w:r>
          </w:p>
        </w:tc>
        <w:tc>
          <w:tcPr>
            <w:tcW w:type="dxa" w:w="2492"/>
          </w:tcPr>
          <w:p>
            <w:pPr>
              <w:pStyle w:val="null3"/>
            </w:pPr>
            <w:r>
              <w:rPr>
                <w:rFonts w:ascii="仿宋_GB2312" w:hAnsi="仿宋_GB2312" w:cs="仿宋_GB2312" w:eastAsia="仿宋_GB2312"/>
              </w:rPr>
              <w:t>一、评审内容 针对本项目服务范围提出绿化服务方案，方案内容包括：①日常养护方案②定期灭虫除害方案。 二、评审标准 1、完整性：方案必须全面，对评审内容中的各项要求有详细描述； 2、可实施性：切合本项目实际情况，提出步骤清晰、合理的方案； 3、针对性：方案能够紧扣项目实际情况，内容科学合理。 三、赋分标准（满分6分） ①日常养护方案：每完全满足一个评审标准得1分，满分3分； ②定期灭虫除害方案：每完全满足一个评审标准得1分，满分3分。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一、评审内容 针对本项目提出安保服务方案，方案内容包含：①门岗安全管理② 巡逻防范管理③消防安全管理④监控、照明安全⑤停车场管理。 二、评审标准 1、完整性：方案须全面，对评审内容中的各项要求有详细描述及说明； 2、可实施性：切合本项目实际情况，实施步骤清晰、合理； 3、针对性：方案能够紧扣项目实际情况，内容科学合理。 三、赋分标准（满分7.5分） ①门岗安全管理：每完全满足一项评审标准得0.5分，满分1.5分； ②巡逻防范管理：每完全满足一项评审标准得0.5分，满分1.5分； ③消防安全管理：每完全满足一项评审标准得0.5分，满分1.5分； ④监控、照明安全：每完全满足一项评审标准得0.5分，满分1.5 分； ⑤停车场管理：每完全满足一项评审标准得0.5分，满分1.5分。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设备维修服务方案</w:t>
            </w:r>
          </w:p>
        </w:tc>
        <w:tc>
          <w:tcPr>
            <w:tcW w:type="dxa" w:w="2492"/>
          </w:tcPr>
          <w:p>
            <w:pPr>
              <w:pStyle w:val="null3"/>
            </w:pPr>
            <w:r>
              <w:rPr>
                <w:rFonts w:ascii="仿宋_GB2312" w:hAnsi="仿宋_GB2312" w:cs="仿宋_GB2312" w:eastAsia="仿宋_GB2312"/>
              </w:rPr>
              <w:t>一、评审内容 针对本项目服务范围提出设备维修服务方案，方案内容至少包括：①办公用电、用水的故障排除②设备设施的维护、运行和管理③定期维护、检修记录和响应时间。 二、评审标准 1、完整性：方案必须全面，对评审内容中的各项要求有详细描述； 2、可实施性：切合本项目实际情况，提出步骤清晰、合理的方案； 3、针对性：方案能够紧扣项目实际情况，内容科学合理。 三、赋分标准（满分6分） ①办公用电、用水的故障排除：每完全满足一个评审标准得0.5分，满分1.5分； ②设备设施的维护、运行和管理：每完全满足一个评审标准得1分，满分3分； ③定期维护、检修记录和响应时间：每完全满足一个评审标准得0.5分，满分1.5分。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针对本项目具有良好的管理制度，方案包含：①岗位职责：具有岗位工作标准、服务质量标准、现场质量控制体系等方面②内控制度：具有保密制度、管理组织机构、问责机制、监督机制、自查制度等方面③人员管理制度; 具有员工日常管理办法、请销假制度、奖惩措施、激励机制、仪容仪表制度。 二、评审标准 1、完整性：方案必须全面，对评审内容中的各项要求有详细描述； 2、落实性：切合项目具体情况，提出责任明确、要求具体的方案； 3、针对性：方案能够紧扣项目实际情况，内容科学合理。 三、赋分标准（满分6分） ①岗位职责：每完全满足一个评审标准得1分，满分3分； ②内控制度：每完全满足一个评审标准得0.5分，满分1.5分； ③人员管理制度：每完全满足一个评审标准得0.5分，满分1.5分。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针对本项目特点提供应急预案，预案内容包含①突发紧急事件：用气、用电、消防、地震、电梯困人②恶劣天气：暴雨、暴雪、大风等强对流天气③其他：重要接待、重大活动及各类检查。 二、评审标准 1、完整性：方案须全面，对评审内容中的各项要求有详细描述及说明； 2、可实施性：切合本项目实际情况，步骤清晰、合理，操作性强； 3、针对性：方案能够紧扣项目实际情况，内容科学合理。 三、赋分标准（满分4.5分） ①突发紧急事件：每完全满足一项评审标准得0.5分，满分1.5分； ②恶劣天气：每完全满足一项评审标准得0.5分，满分1.5分； ③其他：每完全满足一项评审标准得0.5分，满分1.5分。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节能降耗方案</w:t>
            </w:r>
          </w:p>
        </w:tc>
        <w:tc>
          <w:tcPr>
            <w:tcW w:type="dxa" w:w="2492"/>
          </w:tcPr>
          <w:p>
            <w:pPr>
              <w:pStyle w:val="null3"/>
            </w:pPr>
            <w:r>
              <w:rPr>
                <w:rFonts w:ascii="仿宋_GB2312" w:hAnsi="仿宋_GB2312" w:cs="仿宋_GB2312" w:eastAsia="仿宋_GB2312"/>
              </w:rPr>
              <w:t>一、评审内容 根据本项目提出详细的水电等节能降耗方案，内容包含①节能降耗原则②节能降耗的具体措施。 二、评审标准 1、完整性：方案须全面，对评审内容中的各项要求有详细描述； 2、落实性：切合本项目实际情况，提出责任明确、要求具体的方案； 3、针对性：方案能够紧扣项目实际情况，内容科学合理。 三、赋分标准（满分3分） ①节能降耗原则：每完全满足一个评审标准得0.5分，满分1.5分； ②节能降耗的具体措施：每完全满足一个评审标准得0.5分，满分1.5分。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针对本项目制定培训考核方案，内容包括：①培训：针对不同的岗位职责、行为规范、服务礼仪及心理辅导等方面制定培训方案②考核：针对不同的岗位、制度及工作程序制定考核方案。 二、评审标准 1、完整性：方案须全面，对评审内容中的各项要求有详细描述及说明； 2、可实施性：切合本项目实际情况，实施步骤清晰、合理； 3、针对性：方案能够紧扣项目实际情况，内容科学合理。 三、赋分标准（满分3分） ①培训：每完全满足一项评审标准得0.5分，满分1.5分； ②考核：每完全满足一项评审标准得0.5分，满分1.5分。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 根据本项目特点制定档案管理方案，内容包括：①档案资料的收集及分类②归档资料的使用、销毁及移交。 二、评审标准 1、完整性：方案须全面，对评审内容中的各项要求有详细描述； 2、可实施性：切合本项目实际情况，实施步骤清晰、合理； 3、针对性：方案能够紧扣项目实际情况，内容科学合理。 三、赋分标准（满分3分） ①档案资料的收集及分类：每完全满足一个评审标准得0.5分，满分1.5分； ②归档资料的使用、销毁及移交：每完全满足一个评审标准得0.5分，满分1.5分。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 针对本项目特点有明确的组织架构，内容包含①组织机构运行配备方案②专业服务团队的职能分工方案。 二、评审标准 1、完整性：方案必须全面，对评审内容中的各项要求有详细描述； 2、可实施性：切合本项目实际情况，实施步骤清晰、合理； 3、针对性：方案能够紧扣项目实际情况，内容科学合理。 三、赋分标准（满分3分） ①组织机构运行配备方案：每完全满足一个评审标准得0.5分，满分1.5分； ②专业服务团队的职能分工方案：每完全满足一个评审标准得0.5分，满分1.5分。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设备工具</w:t>
            </w:r>
          </w:p>
        </w:tc>
        <w:tc>
          <w:tcPr>
            <w:tcW w:type="dxa" w:w="2492"/>
          </w:tcPr>
          <w:p>
            <w:pPr>
              <w:pStyle w:val="null3"/>
            </w:pPr>
            <w:r>
              <w:rPr>
                <w:rFonts w:ascii="仿宋_GB2312" w:hAnsi="仿宋_GB2312" w:cs="仿宋_GB2312" w:eastAsia="仿宋_GB2312"/>
              </w:rPr>
              <w:t>一、评审内容 针对本项目特点提供设备工具配置清单，内容包含①保洁工具及人员服装②劳保用品及日常消耗品③绿化用品及维修工具。 二、评审标准 1、完整性：工具配置清单齐全完整，能完全满足并提供评审内容中的各项要求； 2、实用性：设备工具质量有保障、使用率高、安全性能强、服装统一； 3、针对性：设备工具能紧扣项目实际情况，配置合理科学。 三、赋分标准（满分4.5分） ①保洁工具及人员服装：每完全满足一项评审标准得0.5分，满分1.5分； ②劳保用品及日常消耗品：每完全满足一项评审标准得0.5分，满分1.5分； ③绿化用品及维修工具：每完全满足一项评审标准得0.5分，满分1.5分。 评审依据：内容每有一处瑕疵扣0.5分，单项内容分值扣完为止，未提供不得分。 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1.承诺：接受采购人对本项目服务的考核、监督及管理，定期调研采购人对服务质量的满意度并加以改进，确保服务工作的优质高效，得1分。无承诺不得分。 2.承诺：上岗人员固定，不随意更换，若出现服务人员因事、病等不能工作的，能及时调整其他服务人员补充，确保服务工作的正常进行，得1分。无承诺不得分。 3.承诺：储备有可调度人员，调度人员可保障临时性工作需要及突发事件处置，得1分。无承诺不得分。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针对物业服务工作中的常见问题进行梳理，具有的良好的解决方案并及时向采购人提出合理化建议，每提供一条得0.5分，满分1分。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供应商提供2023年1月1日至今类似项目业绩合同（以合同签订时间为准）；一个业绩得1分，最高得3分； 评审依据：提供合同复印件并加盖公章。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五、其他资料.docx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详见附件：一、分项报价表</w:t>
      </w:r>
    </w:p>
    <w:p>
      <w:pPr>
        <w:pStyle w:val="null3"/>
        <w:ind w:firstLine="960"/>
      </w:pPr>
      <w:r>
        <w:rPr>
          <w:rFonts w:ascii="仿宋_GB2312" w:hAnsi="仿宋_GB2312" w:cs="仿宋_GB2312" w:eastAsia="仿宋_GB2312"/>
        </w:rPr>
        <w:t>详见附件：二、磋商方案说明.docx</w:t>
      </w:r>
    </w:p>
    <w:p>
      <w:pPr>
        <w:pStyle w:val="null3"/>
        <w:ind w:firstLine="960"/>
      </w:pPr>
      <w:r>
        <w:rPr>
          <w:rFonts w:ascii="仿宋_GB2312" w:hAnsi="仿宋_GB2312" w:cs="仿宋_GB2312" w:eastAsia="仿宋_GB2312"/>
        </w:rPr>
        <w:t>详见附件：三、磋商要求偏离表.docx</w:t>
      </w:r>
    </w:p>
    <w:p>
      <w:pPr>
        <w:pStyle w:val="null3"/>
        <w:ind w:firstLine="960"/>
      </w:pPr>
      <w:r>
        <w:rPr>
          <w:rFonts w:ascii="仿宋_GB2312" w:hAnsi="仿宋_GB2312" w:cs="仿宋_GB2312" w:eastAsia="仿宋_GB2312"/>
        </w:rPr>
        <w:t>详见附件：四、供应商资格证明文件.docx</w:t>
      </w:r>
    </w:p>
    <w:p>
      <w:pPr>
        <w:pStyle w:val="null3"/>
        <w:ind w:firstLine="960"/>
      </w:pPr>
      <w:r>
        <w:rPr>
          <w:rFonts w:ascii="仿宋_GB2312" w:hAnsi="仿宋_GB2312" w:cs="仿宋_GB2312" w:eastAsia="仿宋_GB2312"/>
        </w:rPr>
        <w:t>详见附件：五、其他资料.docx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