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0CC78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eastAsia="zh-CN"/>
        </w:rPr>
        <w:t>三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 xml:space="preserve">、 </w:t>
      </w:r>
      <w:r>
        <w:rPr>
          <w:rFonts w:hint="eastAsia" w:ascii="宋体" w:hAnsi="宋体" w:cs="宋体"/>
          <w:b/>
          <w:color w:val="auto"/>
          <w:szCs w:val="28"/>
          <w:highlight w:val="none"/>
          <w:lang w:eastAsia="zh-CN"/>
        </w:rPr>
        <w:t>磋商要求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偏离表</w:t>
      </w:r>
    </w:p>
    <w:p w14:paraId="421B9465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44A108F8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TWZB2026-004</w:t>
      </w:r>
    </w:p>
    <w:p w14:paraId="2787CF24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70D29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4E410F1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5CA4B97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052863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63C6F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0BBE7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F53F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574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7CAC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B9EB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1880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37F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E97C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A8176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9B2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8B56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701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C9CA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1CB09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DCC2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663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2028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FDCF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4B75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0244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56A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8710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F625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98DC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CEEB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A77B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46AA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CB3BC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DA7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389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7C54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55F24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1128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985F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DCFA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1F1D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FF71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77AB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7DB6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CBD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71D9DCDD">
      <w:pPr>
        <w:spacing w:line="480" w:lineRule="exact"/>
        <w:ind w:left="280" w:leftChars="100"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注：1.本表应严格按照“</w:t>
      </w:r>
      <w:r>
        <w:rPr>
          <w:rFonts w:hint="eastAsia" w:ascii="宋体" w:hAnsi="宋体" w:cs="宋体"/>
          <w:bCs/>
          <w:sz w:val="18"/>
          <w:szCs w:val="18"/>
        </w:rPr>
        <w:t>第三章  磋商项目技术、服务、商务及其他要求</w:t>
      </w:r>
      <w:r>
        <w:rPr>
          <w:rFonts w:hint="eastAsia" w:ascii="宋体" w:hAnsi="宋体" w:cs="宋体"/>
          <w:sz w:val="18"/>
          <w:szCs w:val="18"/>
        </w:rPr>
        <w:t>”中所包含的所有条款填写；“磋商文件要求”须按“第三章  磋商项目技术、服务、商务及其他要求”的条款填写；“磋商响应文件响应”为磋商供应商所响应的条款内容；“偏离及其影响”填写：优于</w:t>
      </w:r>
      <w:r>
        <w:rPr>
          <w:rFonts w:hint="eastAsia" w:ascii="宋体" w:hAnsi="宋体" w:cs="宋体"/>
          <w:bCs/>
          <w:sz w:val="18"/>
          <w:szCs w:val="18"/>
        </w:rPr>
        <w:t>、</w:t>
      </w:r>
      <w:r>
        <w:rPr>
          <w:rFonts w:hint="eastAsia" w:ascii="宋体" w:hAnsi="宋体" w:cs="宋体"/>
          <w:sz w:val="18"/>
          <w:szCs w:val="18"/>
        </w:rPr>
        <w:t>相同。</w:t>
      </w:r>
    </w:p>
    <w:p w14:paraId="291580ED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磋商供应商必须据实填写，不得虚假响应，否则将取消其磋商或成交资格，并按有关规定进处罚。</w:t>
      </w:r>
    </w:p>
    <w:p w14:paraId="298C7714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完全响应的不用在本表列出，提供盖章空表即可。</w:t>
      </w:r>
    </w:p>
    <w:p w14:paraId="35A3BB11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所有实质性要求及所有商务要求不允许负偏离。</w:t>
      </w:r>
    </w:p>
    <w:p w14:paraId="56F75275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525EA42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3C7F74E3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72BD2E7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332752BB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A099771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03C5BEA9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7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2026-01-07T04:56:16Z</dcterms:created>
  <dc:creator>Administrator</dc:creator>
  <cp:lastModifiedBy>宋璟雯</cp:lastModifiedBy>
  <dcterms:modified xsi:type="dcterms:W3CDTF">2026-01-07T04:56:28Z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eyJoZGlkIjoiN2Y4YWYxYmQzZjI4NzUxZmYwNzczZWM3MmVlZTM0MGQiLCJ1c2VySWQiOiIxNDUxODIyODU0In0=</vt:lpwstr>
  </property>
  <property fmtid="{D5CDD505-2E9C-101B-9397-08002B2CF9AE}" pid="4" name="ICV">
    <vt:lpwstr>2404E4099CD94447A22C67055F506A78_12</vt:lpwstr>
  </property>
</Properties>
</file>