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版本号：HHGJZC2026-CS35420260211001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西安市未央区团结高中项目初步设计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HHGJZC2026-CS354</w:t>
      </w:r>
      <w:r>
        <w:br/>
      </w:r>
      <w:r>
        <w:br/>
      </w:r>
      <w:r>
        <w:br/>
      </w:r>
    </w:p>
    <w:p>
      <w:pPr>
        <w:pStyle w:val="null3"/>
        <w:jc w:val="center"/>
        <w:outlineLvl w:val="2"/>
      </w:pPr>
      <w:r>
        <w:rPr>
          <w:rFonts w:ascii="仿宋_GB2312" w:hAnsi="仿宋_GB2312" w:cs="仿宋_GB2312" w:eastAsia="仿宋_GB2312"/>
          <w:sz w:val="28"/>
          <w:b/>
        </w:rPr>
        <w:t>西安市未央区教育局</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西安市未央区教育局</w:t>
      </w:r>
      <w:r>
        <w:rPr>
          <w:rFonts w:ascii="仿宋_GB2312" w:hAnsi="仿宋_GB2312" w:cs="仿宋_GB2312" w:eastAsia="仿宋_GB2312"/>
        </w:rPr>
        <w:t>委托，拟对</w:t>
      </w:r>
      <w:r>
        <w:rPr>
          <w:rFonts w:ascii="仿宋_GB2312" w:hAnsi="仿宋_GB2312" w:cs="仿宋_GB2312" w:eastAsia="仿宋_GB2312"/>
        </w:rPr>
        <w:t>西安市未央区团结高中项目初步设计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HHGJZC2026-CS354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西安市未央区团结高中项目初步设计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西安市未央区团结高中项目初步设计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2、设计资质：供应商具有建设行政主管部门颁发的工程设计综合甲级资质或建筑行业设计乙级及以上资质或建筑行业（建筑工程）乙级及以上资质；</w:t>
      </w:r>
    </w:p>
    <w:p>
      <w:pPr>
        <w:pStyle w:val="null3"/>
      </w:pPr>
      <w:r>
        <w:rPr>
          <w:rFonts w:ascii="仿宋_GB2312" w:hAnsi="仿宋_GB2312" w:cs="仿宋_GB2312" w:eastAsia="仿宋_GB2312"/>
        </w:rPr>
        <w:t>3、设计负责人：拟派设计负责人须具备国家一级注册建筑师执业资格且在本单位注册；</w:t>
      </w:r>
    </w:p>
    <w:p>
      <w:pPr>
        <w:pStyle w:val="null3"/>
      </w:pPr>
      <w:r>
        <w:rPr>
          <w:rFonts w:ascii="仿宋_GB2312" w:hAnsi="仿宋_GB2312" w:cs="仿宋_GB2312" w:eastAsia="仿宋_GB2312"/>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陕西省西安市未央区汇文南路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029-86239786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西安市未央区教育局</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地址：029-89164609</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项目位于西安市未央区团结片区，御井路和红旗东路交叉口西南角。距离西安市政府 4.5km，距离陕西省政府9.5km。周边交通四通八达，西安北站及西安站位于项目用地 10km 范围内，西安咸阳国际机场位于基地 22.6km 处，地理位置优越，配套完善。未央区团结高中为城市公办普通高级中学，规划建设 30 个教学班、1500 个学位。项目规划用地40940.47m2（约 61.418亩），总建筑面积约43000m2，其中：地上建筑面积约36400m2，主要包括 1#教学楼、2#教学综合楼、3#宿舍楼、4#报告厅及阅览室、5#大门、6#看台；7#地下建筑面积约 6600m2，主要包括人防、设备用房及地下车库等。建设室外运动场地面积约9700m2，完成配套的室外道路、管网、照明及安防、广场、绿化、大门、围墙、 雨水收集池及化粪池等工程建设。 项目机动车停车位及非机动车停车位配建要求满足《西安市建设项目停车位配建标准》市资源发【2023】3号文。无障碍车位配建要求满足《建筑与市政工程无障碍通用规范》(GB55019-2021)。充电车位配建要求满足《关于推进新能源汽车充电基础设施的实施方案》（市资源发【2020】228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团结高中建设项目初步设计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标的名称：团结高中建设项目初步设计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rPr>
              <w:t xml:space="preserve"> </w:t>
            </w:r>
          </w:p>
          <w:p>
            <w:pPr>
              <w:pStyle w:val="null3"/>
              <w:ind w:firstLine="420"/>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308"/>
              <w:gridCol w:w="354"/>
              <w:gridCol w:w="1891"/>
            </w:tblGrid>
            <w:tr>
              <w:tc>
                <w:tcPr>
                  <w:tcW w:type="dxa" w:w="308"/>
                  <w:tcBorders>
                    <w:top w:val="singl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18"/>
                      <w:b/>
                    </w:rPr>
                    <w:t>参数性质</w:t>
                  </w:r>
                </w:p>
              </w:tc>
              <w:tc>
                <w:tcPr>
                  <w:tcW w:type="dxa" w:w="354"/>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18"/>
                      <w:b/>
                    </w:rPr>
                    <w:t>序号</w:t>
                  </w:r>
                </w:p>
              </w:tc>
              <w:tc>
                <w:tcPr>
                  <w:tcW w:type="dxa" w:w="1891"/>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18"/>
                      <w:b/>
                    </w:rPr>
                    <w:t>技术参数与性能指标</w:t>
                  </w:r>
                </w:p>
              </w:tc>
            </w:tr>
            <w:tr>
              <w:tc>
                <w:tcPr>
                  <w:tcW w:type="dxa" w:w="30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1"/>
                      <w:shd w:fill="FFFFFF" w:val="clear"/>
                    </w:rPr>
                    <w:t>★</w:t>
                  </w:r>
                </w:p>
              </w:tc>
              <w:tc>
                <w:tcPr>
                  <w:tcW w:type="dxa" w:w="354"/>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1"/>
                    </w:rPr>
                    <w:t>1</w:t>
                  </w:r>
                </w:p>
              </w:tc>
              <w:tc>
                <w:tcPr>
                  <w:tcW w:type="dxa" w:w="1891"/>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pPr>
                  <w:r>
                    <w:rPr>
                      <w:rFonts w:ascii="仿宋_GB2312" w:hAnsi="仿宋_GB2312" w:cs="仿宋_GB2312" w:eastAsia="仿宋_GB2312"/>
                      <w:sz w:val="21"/>
                    </w:rPr>
                    <w:t>项目概况：</w:t>
                  </w:r>
                </w:p>
                <w:p>
                  <w:pPr>
                    <w:pStyle w:val="null3"/>
                    <w:ind w:firstLine="480"/>
                  </w:pPr>
                  <w:r>
                    <w:rPr>
                      <w:rFonts w:ascii="仿宋_GB2312" w:hAnsi="仿宋_GB2312" w:cs="仿宋_GB2312" w:eastAsia="仿宋_GB2312"/>
                      <w:sz w:val="21"/>
                    </w:rPr>
                    <w:t>项目位于西安市未央区团结片区，御井路和红旗东路交叉口西南角。距离西安市政府 4.5km，距离陕西省政府9.5km。周边交通四通八达，西安北站及西安站位于项目用地 10km 范围内，西安咸阳国际机场位于基地 22.6km 处，地理位置优越，配套完善。</w:t>
                  </w:r>
                </w:p>
                <w:p>
                  <w:pPr>
                    <w:pStyle w:val="null3"/>
                    <w:ind w:firstLine="480"/>
                  </w:pPr>
                  <w:r>
                    <w:rPr>
                      <w:rFonts w:ascii="仿宋_GB2312" w:hAnsi="仿宋_GB2312" w:cs="仿宋_GB2312" w:eastAsia="仿宋_GB2312"/>
                      <w:sz w:val="21"/>
                    </w:rPr>
                    <w:t>未央区团结高中为城市公办普通高级中学，规划建设 30 个教学班、1500 个学位。项目规划用地40940.47m2（约 61.418亩），总建筑面积约43000m2，其中：地上建筑面积约36400m2，主要包括 1#教学楼、2#教学综合楼、3#宿舍楼、4#报告厅及阅览室、5#大门、6#看台；7#地下建筑面积约 6600m2，主要包括人防、设备用房及地下车库等。建设室外运动场地面积约9700m2，完成配套的室外道路、管网、照明及安防、广场、绿化、大门、围墙、 雨水收集池及化粪池等工程建设。</w:t>
                  </w:r>
                </w:p>
                <w:p>
                  <w:pPr>
                    <w:pStyle w:val="null3"/>
                    <w:ind w:firstLine="480"/>
                  </w:pPr>
                  <w:r>
                    <w:rPr>
                      <w:rFonts w:ascii="仿宋_GB2312" w:hAnsi="仿宋_GB2312" w:cs="仿宋_GB2312" w:eastAsia="仿宋_GB2312"/>
                      <w:sz w:val="21"/>
                    </w:rPr>
                    <w:t>项目机动车停车位及非机动车停车位配建要求满足《西安市建设项目停车位配建标准》市资源发【2023】3号文。无障碍车位配建要求满足《建筑与市政工程无障碍通用规范》(GB55019-2021)。充电车位配建要求满足《关于推进新能源汽车充电基础设施的实施方案》（市资源发【2020】228号）</w:t>
                  </w:r>
                </w:p>
              </w:tc>
            </w:tr>
            <w:tr>
              <w:tc>
                <w:tcPr>
                  <w:tcW w:type="dxa" w:w="30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1"/>
                      <w:shd w:fill="FFFFFF" w:val="clear"/>
                    </w:rPr>
                    <w:t>★</w:t>
                  </w:r>
                </w:p>
              </w:tc>
              <w:tc>
                <w:tcPr>
                  <w:tcW w:type="dxa" w:w="354"/>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1"/>
                    </w:rPr>
                    <w:t>2</w:t>
                  </w:r>
                </w:p>
              </w:tc>
              <w:tc>
                <w:tcPr>
                  <w:tcW w:type="dxa" w:w="1891"/>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pPr>
                  <w:r>
                    <w:rPr>
                      <w:rFonts w:ascii="仿宋_GB2312" w:hAnsi="仿宋_GB2312" w:cs="仿宋_GB2312" w:eastAsia="仿宋_GB2312"/>
                      <w:sz w:val="21"/>
                    </w:rPr>
                    <w:t>设计要求：</w:t>
                  </w:r>
                </w:p>
                <w:p>
                  <w:pPr>
                    <w:pStyle w:val="null3"/>
                    <w:ind w:firstLine="480"/>
                  </w:pPr>
                  <w:r>
                    <w:rPr>
                      <w:rFonts w:ascii="仿宋_GB2312" w:hAnsi="仿宋_GB2312" w:cs="仿宋_GB2312" w:eastAsia="仿宋_GB2312"/>
                      <w:sz w:val="21"/>
                    </w:rPr>
                    <w:t>1.</w:t>
                  </w:r>
                  <w:r>
                    <w:rPr>
                      <w:rFonts w:ascii="仿宋_GB2312" w:hAnsi="仿宋_GB2312" w:cs="仿宋_GB2312" w:eastAsia="仿宋_GB2312"/>
                      <w:sz w:val="21"/>
                    </w:rPr>
                    <w:t>本次服务采购为项目初步设计，工作的主要内容包含建筑、结构、给排水、 暖通、电气、智能化专业的初步设计图纸、初步设计说明文本、概算编制。不包含总平面图报建、建筑单体报建以及人防、消防、绿化、节能、海绵等报建相关的专项联合审查。</w:t>
                  </w:r>
                </w:p>
                <w:p>
                  <w:pPr>
                    <w:pStyle w:val="null3"/>
                    <w:ind w:firstLine="480"/>
                  </w:pPr>
                  <w:r>
                    <w:rPr>
                      <w:rFonts w:ascii="仿宋_GB2312" w:hAnsi="仿宋_GB2312" w:cs="仿宋_GB2312" w:eastAsia="仿宋_GB2312"/>
                      <w:sz w:val="21"/>
                    </w:rPr>
                    <w:t>2.</w:t>
                  </w:r>
                  <w:r>
                    <w:rPr>
                      <w:rFonts w:ascii="仿宋_GB2312" w:hAnsi="仿宋_GB2312" w:cs="仿宋_GB2312" w:eastAsia="仿宋_GB2312"/>
                      <w:sz w:val="21"/>
                    </w:rPr>
                    <w:t>提交的设计文件应符合现行规程、规范等要求。</w:t>
                  </w:r>
                </w:p>
                <w:p>
                  <w:pPr>
                    <w:pStyle w:val="null3"/>
                    <w:ind w:firstLine="480"/>
                  </w:pPr>
                  <w:r>
                    <w:rPr>
                      <w:rFonts w:ascii="仿宋_GB2312" w:hAnsi="仿宋_GB2312" w:cs="仿宋_GB2312" w:eastAsia="仿宋_GB2312"/>
                      <w:sz w:val="21"/>
                    </w:rPr>
                    <w:t>3.</w:t>
                  </w:r>
                  <w:r>
                    <w:rPr>
                      <w:rFonts w:ascii="仿宋_GB2312" w:hAnsi="仿宋_GB2312" w:cs="仿宋_GB2312" w:eastAsia="仿宋_GB2312"/>
                      <w:sz w:val="21"/>
                    </w:rPr>
                    <w:t>质量要求：合格。</w:t>
                  </w:r>
                </w:p>
              </w:tc>
            </w:tr>
          </w:tbl>
          <w:p>
            <w:pPr>
              <w:pStyle w:val="null3"/>
              <w:jc w:val="left"/>
            </w:pPr>
            <w:r>
              <w:br/>
            </w:r>
            <w:r>
              <w:rPr>
                <w:rFonts w:ascii="仿宋_GB2312" w:hAnsi="仿宋_GB2312" w:cs="仿宋_GB2312" w:eastAsia="仿宋_GB2312"/>
              </w:rPr>
              <w:t xml:space="preserve">  </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合同签订后，初设编制完成，取得项目批复</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3.4.3关于异常低价的处理： 根据《关于推动解决政府采购异常低价问题的通知》（ 财库〔2026〕2号）规定，政府采购评审中出现下列情形之一的，磋商小组应当启动异常低价投标（响应）审查程序： 1.最终报价低于全部通过符合性审查供应商最终报价平均值50%的，即最终报价&lt;全部通过符合性审查供应商最终报价平均值×50%； 2.最终报价低于通过符合性审查的次低报价供应商最终报价50%的，即最终报价&lt;通过符合性审查的次低报价供应商最终报价×50%； 3.最终报价低于采购项目最高限价45%的，即最终报价&lt;采购项目最高限价×45%； 4.磋商小组基于专业判断，认为供应商报价过低，有可能影响产品质量或者不能诚信履约的其他情形。 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竞争性磋商文件第七章响应文件格式。不提供《基本资格条件承诺函》的供应商需提交以下资格证明文件：①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②提供响应文件提交截止时间前一年内已缴纳的至少一个月的纳税证明或完税证明（印花税、个人所得税除外至少提供一种），纳税证明或完税证明上应有代收机构或税务机关的公章或业务专用章，依法免税的供应商应提供相应证明文件；③提供响应文件提交截止时间前一年内已缴存的至少一个月的社会保障资金缴存单据或社保机构开具的社会保险参保缴费情况证明，依法不需要缴纳社会保障资金的供应商应提供相应证明文件；④提供具有履行合同所必需的设备和专业技术能力的承诺；⑤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设计资质</w:t>
            </w:r>
          </w:p>
        </w:tc>
        <w:tc>
          <w:tcPr>
            <w:tcW w:type="dxa" w:w="3322"/>
          </w:tcPr>
          <w:p>
            <w:pPr>
              <w:pStyle w:val="null3"/>
            </w:pPr>
            <w:r>
              <w:rPr>
                <w:rFonts w:ascii="仿宋_GB2312" w:hAnsi="仿宋_GB2312" w:cs="仿宋_GB2312" w:eastAsia="仿宋_GB2312"/>
              </w:rPr>
              <w:t>供应商具有建设行政主管部门颁发的工程设计综合甲级资质或建筑行业设计乙级及以上资质或建筑行业（建筑工程）乙级及以上资质；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设计负责人</w:t>
            </w:r>
          </w:p>
        </w:tc>
        <w:tc>
          <w:tcPr>
            <w:tcW w:type="dxa" w:w="3322"/>
          </w:tcPr>
          <w:p>
            <w:pPr>
              <w:pStyle w:val="null3"/>
            </w:pPr>
            <w:r>
              <w:rPr>
                <w:rFonts w:ascii="仿宋_GB2312" w:hAnsi="仿宋_GB2312" w:cs="仿宋_GB2312" w:eastAsia="仿宋_GB2312"/>
              </w:rPr>
              <w:t>拟派设计负责人须具备国家一级注册建筑师执业资格且在本单位注册；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 磋商报价表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技术和商务偏离表 响应函 合同条款响应</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报价表 技术和商务偏离表 磋商报价表 响应文件封面 资格证明文件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 标的清单 报价表 磋商报价表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对合同条款的响应未出现负偏离且响应的内容中未附有采购人不能接受的附加条件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服务方案 技术和商务偏离表 合同条款响应</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项目理解及针对本项目的任务分析</w:t>
            </w:r>
          </w:p>
        </w:tc>
        <w:tc>
          <w:tcPr>
            <w:tcW w:type="dxa" w:w="2492"/>
          </w:tcPr>
          <w:p>
            <w:pPr>
              <w:pStyle w:val="null3"/>
            </w:pPr>
            <w:r>
              <w:rPr>
                <w:rFonts w:ascii="仿宋_GB2312" w:hAnsi="仿宋_GB2312" w:cs="仿宋_GB2312" w:eastAsia="仿宋_GB2312"/>
              </w:rPr>
              <w:t>1.评审内容：①对项目的理解；②针对本项目的任务分析。 2.评审标准：①全面性：掌握项目各项工作要求，内容全面完善。②准确性：了解项目真实情况。③针对性：能够紧扣项目实际情况，内容科学合理； 3.赋分标准：①对项目的理解：每完全满足一项评审标准得1分，满分3分；有一项缺陷扣0.5分。②针对本项目的任务分析：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1.评审内容：①总体设计思路；②设计方案。 2.评审标准①可实施性：实施步骤清晰、计划合理，可实施性强。②合理性：切合本项目实际情况，设计合理。③针对性：能够紧扣项目实际情况，内容科学合理； 3.赋分标准：①总体设计思路：每完全满足一项评审标准得2分，满分6分；有一项缺陷扣1分。②设计方案：每完全满足一项评审标准得2分，满分6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人员配备措施</w:t>
            </w:r>
          </w:p>
        </w:tc>
        <w:tc>
          <w:tcPr>
            <w:tcW w:type="dxa" w:w="2492"/>
          </w:tcPr>
          <w:p>
            <w:pPr>
              <w:pStyle w:val="null3"/>
            </w:pPr>
            <w:r>
              <w:rPr>
                <w:rFonts w:ascii="仿宋_GB2312" w:hAnsi="仿宋_GB2312" w:cs="仿宋_GB2312" w:eastAsia="仿宋_GB2312"/>
              </w:rPr>
              <w:t>1.项目负责人具备高级工程师及以上职称，得2分。（响应文件中附职称证原件的扫描件，未提供不计分。） 2.除项目负责人外，建筑、结构、给排水、电气、暖通各专业负责人同时具备国家注册类资格证书和高级工程师及以上职称，每提供一个符合要求的人员得2分，最高得10分，同一专业多名符合要求人员只计一次分。（响应文件中附相关注册证及职称证原件的扫描件，未提供或提供不全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1. 评审内容：①进度计划；②保障措施。 2. 评审标准：①可实施性：实施步骤清晰、计划合理，可实施性强。②合理性：切合本项目实际情况，合理可行。 3. 赋分标准：①进度计划：每完全满足一项评审标准得2分，满分4分；有一项缺陷扣1分。②保障措施：每完全满足一项评审标准得2分，满分4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 评审内容：质量保障措施。 2. 评审标准：①可实施性：实施步骤清晰、计划合理，可实施性强。②合理性：切合本项目实际情况，合理可行。 3.赋分标准：每完全满足一项评审标准得4分，满分8分；有一项缺陷扣2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 评审内容：供应商提供针对本项目的设计工作重点、难点分析及解决措施。 2. 评审标准：①完整性：方案须全面，对评审内容中的要求有详细描述及说明；②可实施性：切合本项目实际情况，实施步骤清晰、合理；③针对性：方案能够紧扣项目实际情况，内容科学合理。 3. 赋分标准：每完全满足一项评审标准得3分，满分9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1.评审内容：①对本项目服务工作中的常见问题进行梳理；②针对问题提供的的造价控制措施。 2.评审标准：①可实施性：切合本项目实际情况，分析全面；②针对性：控制措施能够紧扣项目实际情况，内容科学合理。 3.赋分标准：①常见问题进行梳理：每完全满足一个评审标准得1分，满分2分；有一项缺陷扣0.5分。②造价控制措施:每完全满足一个评审标准得1分，满分2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评审内容：供应商提供针对本项目的服务承诺。 2. 评审标准：①完整性：方案须全面，对评审内容中的要求有详细描述及说明；②可实施性：切合本项目实际情况，实施步骤清晰、合理；③针对性：方案能够紧扣项目实际情况，内容科学合理。 3. 赋分标准：每完全满足一项评审标准得2分，满分6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供应商提供2023年1月1日至今类似项目业绩，1个得1分，最高5分。（以合同或协议签订日期为准，响应文件中附加盖公章的合同或协议复印件，否则不作为评审依据）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（1）经初审合格的磋商响应文件，其最终磋商报价为有效磋商报价。 （2）满足磋商文件实质性要求且最终报价最低的供应商的价格为磋商基准价，其价格分为满分30分。 （3）磋商报价得分=（磋商基准价/最终磋商报价）×30。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详见附件：磋商报价表</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