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版本号：QHY-2025-ZB-02020260227001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红旗铁路专用线片区更新改造项目(徐家湾范围)围挡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QHY-2025-ZB-020</w:t>
      </w:r>
      <w:r>
        <w:br/>
      </w:r>
      <w:r>
        <w:br/>
      </w:r>
      <w:r>
        <w:br/>
      </w:r>
    </w:p>
    <w:p>
      <w:pPr>
        <w:pStyle w:val="null3"/>
        <w:jc w:val="center"/>
        <w:outlineLvl w:val="2"/>
      </w:pPr>
      <w:r>
        <w:rPr>
          <w:rFonts w:ascii="仿宋_GB2312" w:hAnsi="仿宋_GB2312" w:cs="仿宋_GB2312" w:eastAsia="仿宋_GB2312"/>
          <w:sz w:val="28"/>
          <w:b/>
        </w:rPr>
        <w:t>西安市未央区徐家湾街道办事处</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西安市未央区徐家湾街道办事处</w:t>
      </w:r>
      <w:r>
        <w:rPr>
          <w:rFonts w:ascii="仿宋_GB2312" w:hAnsi="仿宋_GB2312" w:cs="仿宋_GB2312" w:eastAsia="仿宋_GB2312"/>
        </w:rPr>
        <w:t>委托，拟对</w:t>
      </w:r>
      <w:r>
        <w:rPr>
          <w:rFonts w:ascii="仿宋_GB2312" w:hAnsi="仿宋_GB2312" w:cs="仿宋_GB2312" w:eastAsia="仿宋_GB2312"/>
        </w:rPr>
        <w:t>红旗铁路专用线片区更新改造项目(徐家湾范围)围挡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QHY-2025-ZB-020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红旗铁路专用线片区更新改造项目(徐家湾范围)围挡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红旗铁路专用线片区更新改造项目(徐家湾范围)围挡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采购包1（红旗铁路专用线片区更新改造项目(徐家湾范围)围挡）：属于专门面向中小企业采购。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2、企业资质：供应商必须具有建设行政主管部门颁发的的建筑工程施工总承包三级（含）及以上资质，具有有效的安全生产许可证。</w:t>
      </w:r>
    </w:p>
    <w:p>
      <w:pPr>
        <w:pStyle w:val="null3"/>
      </w:pPr>
      <w:r>
        <w:rPr>
          <w:rFonts w:ascii="仿宋_GB2312" w:hAnsi="仿宋_GB2312" w:cs="仿宋_GB2312" w:eastAsia="仿宋_GB2312"/>
        </w:rPr>
        <w:t>3、项目经理资质：供应商拟派项目经理须具备建筑工程专业二级及以上注册建造师证，具备有效的安全生产考核合格证书（B证），在本单位注册，且未担任其他在建工程项目的项目经理（提供承诺书）。</w:t>
      </w:r>
    </w:p>
    <w:p>
      <w:pPr>
        <w:pStyle w:val="null3"/>
      </w:pPr>
      <w:r>
        <w:rPr>
          <w:rFonts w:ascii="仿宋_GB2312" w:hAnsi="仿宋_GB2312" w:cs="仿宋_GB2312" w:eastAsia="仿宋_GB2312"/>
        </w:rPr>
        <w:t>4、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西安市未央区徐家湾街道办事处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西安市未央区渭青南路30号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029-86616911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采购包1：864,302.42元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西安市未央区徐家湾街道办事处</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西安市未央区徐家湾街道办事处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西安市未央区徐家湾街道办事处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864,302.42</w:t>
      </w:r>
    </w:p>
    <w:p>
      <w:pPr>
        <w:pStyle w:val="null3"/>
      </w:pPr>
      <w:r>
        <w:rPr>
          <w:rFonts w:ascii="仿宋_GB2312" w:hAnsi="仿宋_GB2312" w:cs="仿宋_GB2312" w:eastAsia="仿宋_GB2312"/>
        </w:rPr>
        <w:t>采购包最高限价（元）: 864,302.42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红旗铁路专用线片区更新改造项目(徐家湾范围)围挡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864,302.42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标的名称：红旗铁路专用线片区更新改造项目(徐家湾范围)围挡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1、红旗铁路专用线片区更新改造项目(徐家湾范围)围挡，总长度3964.69米。</w:t>
            </w:r>
          </w:p>
          <w:p>
            <w:pPr>
              <w:pStyle w:val="null3"/>
              <w:ind w:firstLine="480"/>
            </w:pPr>
            <w:r>
              <w:rPr>
                <w:rFonts w:ascii="仿宋_GB2312" w:hAnsi="仿宋_GB2312" w:cs="仿宋_GB2312" w:eastAsia="仿宋_GB2312"/>
                <w:sz w:val="24"/>
              </w:rPr>
              <w:t>2、项目实施地点：未央区</w:t>
            </w:r>
          </w:p>
          <w:p>
            <w:pPr>
              <w:pStyle w:val="null3"/>
              <w:ind w:firstLine="480"/>
            </w:pPr>
            <w:r>
              <w:rPr>
                <w:rFonts w:ascii="仿宋_GB2312" w:hAnsi="仿宋_GB2312" w:cs="仿宋_GB2312" w:eastAsia="仿宋_GB2312"/>
                <w:sz w:val="24"/>
              </w:rPr>
              <w:t>3、工期：15日历天</w:t>
            </w:r>
          </w:p>
          <w:p>
            <w:pPr>
              <w:pStyle w:val="null3"/>
              <w:ind w:firstLine="480"/>
            </w:pPr>
            <w:r>
              <w:rPr>
                <w:rFonts w:ascii="仿宋_GB2312" w:hAnsi="仿宋_GB2312" w:cs="仿宋_GB2312" w:eastAsia="仿宋_GB2312"/>
                <w:sz w:val="24"/>
              </w:rPr>
              <w:t>4、质量标准：达到国家及行业现行施工验收规范“合格”标准</w:t>
            </w:r>
          </w:p>
          <w:p>
            <w:pPr>
              <w:pStyle w:val="null3"/>
            </w:pPr>
            <w:r>
              <w:rPr>
                <w:rFonts w:ascii="仿宋_GB2312" w:hAnsi="仿宋_GB2312" w:cs="仿宋_GB2312" w:eastAsia="仿宋_GB2312"/>
                <w:sz w:val="24"/>
                <w:b/>
              </w:rPr>
              <w:t>二、付款方式</w:t>
            </w:r>
          </w:p>
          <w:p>
            <w:pPr>
              <w:pStyle w:val="null3"/>
              <w:ind w:firstLine="480"/>
            </w:pPr>
            <w:r>
              <w:rPr>
                <w:rFonts w:ascii="仿宋_GB2312" w:hAnsi="仿宋_GB2312" w:cs="仿宋_GB2312" w:eastAsia="仿宋_GB2312"/>
                <w:sz w:val="24"/>
              </w:rPr>
              <w:t>合同签订后</w:t>
            </w:r>
            <w:r>
              <w:rPr>
                <w:rFonts w:ascii="仿宋_GB2312" w:hAnsi="仿宋_GB2312" w:cs="仿宋_GB2312" w:eastAsia="仿宋_GB2312"/>
                <w:sz w:val="24"/>
              </w:rPr>
              <w:t>10日内支付合同总价的60%，达到验收条件后，等待财政局评审结束10日内支付合同总价的40%。</w:t>
            </w:r>
          </w:p>
          <w:p>
            <w:pPr>
              <w:pStyle w:val="null3"/>
            </w:pPr>
            <w:r>
              <w:rPr>
                <w:rFonts w:ascii="仿宋_GB2312" w:hAnsi="仿宋_GB2312" w:cs="仿宋_GB2312" w:eastAsia="仿宋_GB2312"/>
                <w:sz w:val="24"/>
                <w:b/>
              </w:rPr>
              <w:t>三、施工要求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成交供应商在施工期间应严格遵守国家、省、市有关防火、爆破和施工安全以及文明施工、深夜施工、环卫和城管等规定，建立规章制度和防护措施,应按安全施工的要求，采取严格科学的安全措施，确保施工安全和第三者的安全，确保工程质量和生产安全。否则，由此造成的经济和法律责任均由成交供应商负责。</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2）成交供应商应配合项目建设进度,向采购人提供施工组织计划、进度计划和施工作业计划，并签订施工安全责任书。</w:t>
            </w:r>
          </w:p>
          <w:p>
            <w:pPr>
              <w:pStyle w:val="null3"/>
            </w:pPr>
            <w:r>
              <w:rPr>
                <w:rFonts w:ascii="仿宋_GB2312" w:hAnsi="仿宋_GB2312" w:cs="仿宋_GB2312" w:eastAsia="仿宋_GB2312"/>
                <w:sz w:val="24"/>
                <w:b/>
              </w:rPr>
              <w:t>四、验收标准</w:t>
            </w:r>
          </w:p>
          <w:p>
            <w:pPr>
              <w:pStyle w:val="null3"/>
              <w:ind w:firstLine="480"/>
            </w:pPr>
            <w:r>
              <w:rPr>
                <w:rFonts w:ascii="仿宋_GB2312" w:hAnsi="仿宋_GB2312" w:cs="仿宋_GB2312" w:eastAsia="仿宋_GB2312"/>
                <w:sz w:val="24"/>
              </w:rPr>
              <w:t>验收：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1）验收流程</w:t>
            </w:r>
          </w:p>
          <w:p>
            <w:pPr>
              <w:pStyle w:val="null3"/>
              <w:ind w:firstLine="480"/>
            </w:pPr>
            <w:r>
              <w:rPr>
                <w:rFonts w:ascii="仿宋_GB2312" w:hAnsi="仿宋_GB2312" w:cs="仿宋_GB2312" w:eastAsia="仿宋_GB2312"/>
                <w:sz w:val="24"/>
              </w:rPr>
              <w:t>1.1项目在完工后，成交供应商向采购人提交工程建设管理报告，并将施工过程中相关资料提交采购人。</w:t>
            </w:r>
          </w:p>
          <w:p>
            <w:pPr>
              <w:pStyle w:val="null3"/>
              <w:ind w:firstLine="480"/>
            </w:pPr>
            <w:r>
              <w:rPr>
                <w:rFonts w:ascii="仿宋_GB2312" w:hAnsi="仿宋_GB2312" w:cs="仿宋_GB2312" w:eastAsia="仿宋_GB2312"/>
                <w:sz w:val="24"/>
              </w:rPr>
              <w:t>1.2采购人收到工程竣工试验报告后，对符合竣工验收要求的工程，组织相关单位和其他有关方面的专家组成验收组共同验收，签署工程竣工验收意见。</w:t>
            </w:r>
          </w:p>
          <w:p>
            <w:pPr>
              <w:pStyle w:val="null3"/>
              <w:ind w:firstLine="480"/>
            </w:pPr>
            <w:r>
              <w:rPr>
                <w:rFonts w:ascii="仿宋_GB2312" w:hAnsi="仿宋_GB2312" w:cs="仿宋_GB2312" w:eastAsia="仿宋_GB2312"/>
                <w:sz w:val="24"/>
              </w:rPr>
              <w:t>1.3验收合格后，采购人出具《工程竣工验收鉴定书》。</w:t>
            </w:r>
          </w:p>
          <w:p>
            <w:pPr>
              <w:pStyle w:val="null3"/>
              <w:ind w:firstLine="480"/>
            </w:pPr>
            <w:r>
              <w:rPr>
                <w:rFonts w:ascii="仿宋_GB2312" w:hAnsi="仿宋_GB2312" w:cs="仿宋_GB2312" w:eastAsia="仿宋_GB2312"/>
                <w:sz w:val="24"/>
              </w:rPr>
              <w:t>1.4验收不合格的成交供应商，必须在接到通知后规定期限内确保工程通过验收。如接到通知后在规定期限内验收仍不合格，采购人可提出索赔或取消其施工合同。</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2）验收标准按照国家、行业有关规范和要求执行。</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3）成交供应商承诺完全达到国家有关部门的验收标准，验收过程中的一切费用由成交供应商承担。</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4）验收依据</w:t>
            </w:r>
          </w:p>
          <w:p>
            <w:pPr>
              <w:pStyle w:val="null3"/>
              <w:ind w:firstLine="480"/>
            </w:pPr>
            <w:r>
              <w:rPr>
                <w:rFonts w:ascii="仿宋_GB2312" w:hAnsi="仿宋_GB2312" w:cs="仿宋_GB2312" w:eastAsia="仿宋_GB2312"/>
                <w:sz w:val="24"/>
              </w:rPr>
              <w:t>4.1合同文本及合同补充文件（条款）。</w:t>
            </w:r>
          </w:p>
          <w:p>
            <w:pPr>
              <w:pStyle w:val="null3"/>
              <w:ind w:firstLine="480"/>
            </w:pPr>
            <w:r>
              <w:rPr>
                <w:rFonts w:ascii="仿宋_GB2312" w:hAnsi="仿宋_GB2312" w:cs="仿宋_GB2312" w:eastAsia="仿宋_GB2312"/>
                <w:sz w:val="24"/>
              </w:rPr>
              <w:t>4.2磋商文件。</w:t>
            </w:r>
          </w:p>
          <w:p>
            <w:pPr>
              <w:pStyle w:val="null3"/>
              <w:ind w:firstLine="480"/>
            </w:pPr>
            <w:r>
              <w:rPr>
                <w:rFonts w:ascii="仿宋_GB2312" w:hAnsi="仿宋_GB2312" w:cs="仿宋_GB2312" w:eastAsia="仿宋_GB2312"/>
                <w:sz w:val="24"/>
              </w:rPr>
              <w:t>4.3磋商响应文件。</w:t>
            </w:r>
          </w:p>
          <w:p>
            <w:pPr>
              <w:pStyle w:val="null3"/>
              <w:ind w:firstLine="480"/>
            </w:pPr>
            <w:r>
              <w:rPr>
                <w:rFonts w:ascii="仿宋_GB2312" w:hAnsi="仿宋_GB2312" w:cs="仿宋_GB2312" w:eastAsia="仿宋_GB2312"/>
                <w:sz w:val="24"/>
              </w:rPr>
              <w:t>4.4工程量清单。</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 xml:space="preserve"> 4.5建筑工程施工质量验收统一标准。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1.有效的主体资格证明：具有独立承担民事责任能力的法人、其他组织或自然人并出具合法有效的营业执照或事业单位法人证书等国家规定的相关证明，自然人参与的提供其身份证明。 2.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 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c.税收缴纳证明：提供磋商响应文件递交截止时间前一年内已缴纳的至少一个月的纳税证明或完税证明，依法免税的单位应提供相关证明材料。 d.参加政府采购活动前三年内，在经营活动中没有重大违法记录的书面声明。 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供应商必须具有建设行政主管部门颁发的的建筑工程施工总承包三级（含）及以上资质，具有有效的安全生产许可证。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供应商拟派项目经理须具备建筑工程专业二级及以上注册建造师证，具备有效的安全生产考核合格证书（B证），在本单位注册，且未担任其他在建工程项目的项目经理（提供承诺书）。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满足竞争性磋商文件的报价要求</w:t>
            </w:r>
          </w:p>
        </w:tc>
        <w:tc>
          <w:tcPr>
            <w:tcW w:type="dxa" w:w="1661"/>
          </w:tcPr>
          <w:p>
            <w:pPr>
              <w:pStyle w:val="null3"/>
            </w:pPr>
            <w:r>
              <w:rPr>
                <w:rFonts w:ascii="仿宋_GB2312" w:hAnsi="仿宋_GB2312" w:cs="仿宋_GB2312" w:eastAsia="仿宋_GB2312"/>
              </w:rPr>
              <w:t>已标价工程量清单 供应商认为有必要说明的其它内容或资料.docx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需签字处按磋商文件要求签字，需盖章处按磋商文件要求盖章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磋商文件中规定的无效情形</w:t>
            </w:r>
          </w:p>
        </w:tc>
        <w:tc>
          <w:tcPr>
            <w:tcW w:type="dxa" w:w="1661"/>
          </w:tcPr>
          <w:p>
            <w:pPr>
              <w:pStyle w:val="null3"/>
            </w:pPr>
            <w:r>
              <w:rPr>
                <w:rFonts w:ascii="仿宋_GB2312" w:hAnsi="仿宋_GB2312" w:cs="仿宋_GB2312" w:eastAsia="仿宋_GB2312"/>
              </w:rPr>
              <w:t>响应文件封面 技术服务合同条款及其他商务要求应答表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施工总体方案内容至少包括①施工准备；②施工进度安排；③施工方法；④重点难点工程分析及解决措施；⑤影响正常施工外在因素分析及对应预案等。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安全生产技术组织措施内容至少包括①安全生产管理制度；②安全投入保障制度；③安全隐患排查、整改制度；④应急救援机制等。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②防尘降噪措施；③节能减排措施；④文明及环境保护施工监督检查机制等。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施工部署与进度计划内容至少包括①施工总平面布置；②进度安排计划；③工期目标控制和保证措施；④材料供应措施。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施工组织和项目管理机构内容至少包括①项目管理机构图；②岗位安排及职责（配备施工员、安全员、资料员、材料员、质量员）；③管理制度；④相应的协调措施等。 评审依据：每一项内容描述详细，切实可行符合项目实际内容得1分，合计得4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施工机械配置和材料投入计划内容至少包括①施工机械配置计划；②施工材料投入计划；③施工机械的维护保养和材料的贮存；④施工机械、材料的监督和检查等。 评审依据：每一项内容描述详细，切实可行符合项目实际内容得1分，合计得4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1、经初审合格的磋商响应文件，其磋商报价为有效磋商报价。2、满足磋商文件实质性要求且最终报价最低的供应商的价格为磋商基准价，其价格分为满分45分。 3、磋商报价得分=（磋商基准价/最终磋商报价）×45。 4、磋商报价不完整的，不进入磋商基准价的计算，本项得0分。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