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版本号：ZJXG202601320260205001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2026年度机关食堂厨师服务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ZJXG2026013</w:t>
      </w:r>
      <w:r>
        <w:br/>
      </w:r>
      <w:r>
        <w:br/>
      </w:r>
      <w:r>
        <w:br/>
      </w:r>
    </w:p>
    <w:p>
      <w:pPr>
        <w:pStyle w:val="null3"/>
        <w:jc w:val="center"/>
        <w:outlineLvl w:val="2"/>
      </w:pPr>
      <w:r>
        <w:rPr>
          <w:rFonts w:ascii="仿宋_GB2312" w:hAnsi="仿宋_GB2312" w:cs="仿宋_GB2312" w:eastAsia="仿宋_GB2312"/>
          <w:sz w:val="28"/>
          <w:b/>
        </w:rPr>
        <w:t>西安市未央区张家堡街道办事处</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西安市未央区张家堡街道办事处</w:t>
      </w:r>
      <w:r>
        <w:rPr>
          <w:rFonts w:ascii="仿宋_GB2312" w:hAnsi="仿宋_GB2312" w:cs="仿宋_GB2312" w:eastAsia="仿宋_GB2312"/>
        </w:rPr>
        <w:t>委托，拟对</w:t>
      </w:r>
      <w:r>
        <w:rPr>
          <w:rFonts w:ascii="仿宋_GB2312" w:hAnsi="仿宋_GB2312" w:cs="仿宋_GB2312" w:eastAsia="仿宋_GB2312"/>
        </w:rPr>
        <w:t>2026年度机关食堂厨师服务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2026年度机关食堂厨师服务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2026年度机关食堂厨师服务，大厨3名，小厨2名，共5名厨师劳务外包服务；机关食堂就餐人数约251人，每天早餐、中餐按全员准备，晚餐按值班人数准备；具体内容详见竞争性磋商文件。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采购包1（2026年度机关食堂厨师服务）：属于专门面向中小企业采购。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2025年至今已缴纳的1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参加磋商的，须提供法定代表人身份证；法定代表人授权本单位他人参加磋商的，须提供法定代表人授权委托书及被授权代表开标截止前三个月内任意一个月在本单位的社会保险缴纳证明。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10、是否接受联合体投标：本合同包不接受联合体投标，提供非联合体投标声明。供应商需在项目电子化交易系统中按要求上传相应证明文件并进行电子签章。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西安市未央区张家堡街道办事处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凤城四路3号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西安市未央区张家堡街道办事处经办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029-86526798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采购包1：315,489.00元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中服务类收费标准收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西安市未央区张家堡街道办事处</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西安市未央区张家堡街道办事处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西安市未央区张家堡街道办事处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联系人：白工</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2026年度机关食堂厨师服务，大厨3名，小厨2名，共5名厨师劳务外包服务；机关食堂就餐人数约251人，每天早餐、中餐按全员准备，晚餐按值班人数准备；具体内容详见竞争性磋商文件。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315,489.00</w:t>
      </w:r>
    </w:p>
    <w:p>
      <w:pPr>
        <w:pStyle w:val="null3"/>
      </w:pPr>
      <w:r>
        <w:rPr>
          <w:rFonts w:ascii="仿宋_GB2312" w:hAnsi="仿宋_GB2312" w:cs="仿宋_GB2312" w:eastAsia="仿宋_GB2312"/>
        </w:rPr>
        <w:t>采购包最高限价（元）: 315,489.00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机关食堂餐饮服务人员</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315,489.00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标的名称：机关食堂餐饮服务人员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shd w:fill="FFFFFF" w:val="clear"/>
              </w:rPr>
              <w:t>一、服务内容及范围</w:t>
            </w:r>
          </w:p>
          <w:p>
            <w:pPr>
              <w:pStyle w:val="null3"/>
              <w:ind w:firstLine="420"/>
              <w:jc w:val="left"/>
            </w:pPr>
            <w:r>
              <w:rPr>
                <w:rFonts w:ascii="仿宋_GB2312" w:hAnsi="仿宋_GB2312" w:cs="仿宋_GB2312" w:eastAsia="仿宋_GB2312"/>
                <w:sz w:val="21"/>
                <w:shd w:fill="FFFFFF" w:val="clear"/>
              </w:rPr>
              <w:t>1、服务模式：采用服务外包的模式。由供应商委派专业厨房工作人员对在职职工提供伙食供应服务。伙食及加工设施设备、原辅材料采购由甲方负责。</w:t>
            </w:r>
          </w:p>
          <w:p>
            <w:pPr>
              <w:pStyle w:val="null3"/>
              <w:ind w:firstLine="420"/>
              <w:jc w:val="left"/>
            </w:pPr>
            <w:r>
              <w:rPr>
                <w:rFonts w:ascii="仿宋_GB2312" w:hAnsi="仿宋_GB2312" w:cs="仿宋_GB2312" w:eastAsia="仿宋_GB2312"/>
                <w:sz w:val="21"/>
                <w:shd w:fill="FFFFFF" w:val="clear"/>
              </w:rPr>
              <w:t>2、原材料验收：派专人负责对供应的肉类、蔬菜和干杂等原材料进行验收。</w:t>
            </w:r>
          </w:p>
          <w:p>
            <w:pPr>
              <w:pStyle w:val="null3"/>
              <w:ind w:firstLine="420"/>
              <w:jc w:val="left"/>
            </w:pPr>
            <w:r>
              <w:rPr>
                <w:rFonts w:ascii="仿宋_GB2312" w:hAnsi="仿宋_GB2312" w:cs="仿宋_GB2312" w:eastAsia="仿宋_GB2312"/>
                <w:sz w:val="21"/>
                <w:shd w:fill="FFFFFF" w:val="clear"/>
              </w:rPr>
              <w:t>3、加工：根据采购人要求进行加工、供应工作。</w:t>
            </w:r>
          </w:p>
          <w:p>
            <w:pPr>
              <w:pStyle w:val="null3"/>
              <w:ind w:firstLine="420"/>
              <w:jc w:val="left"/>
            </w:pPr>
            <w:r>
              <w:rPr>
                <w:rFonts w:ascii="仿宋_GB2312" w:hAnsi="仿宋_GB2312" w:cs="仿宋_GB2312" w:eastAsia="仿宋_GB2312"/>
                <w:sz w:val="21"/>
                <w:shd w:fill="FFFFFF" w:val="clear"/>
              </w:rPr>
              <w:t>4、食堂保洁：保证在职职工就餐区、伙食食材加工区、食材集散区、供应商服务人员活动区的保洁服务，保证就餐区、加工区域内的清洁度和舒适度，工作区按计划执行计划卫生。</w:t>
            </w:r>
          </w:p>
          <w:p>
            <w:pPr>
              <w:pStyle w:val="null3"/>
              <w:ind w:firstLine="420"/>
              <w:jc w:val="left"/>
            </w:pPr>
            <w:r>
              <w:rPr>
                <w:rFonts w:ascii="仿宋_GB2312" w:hAnsi="仿宋_GB2312" w:cs="仿宋_GB2312" w:eastAsia="仿宋_GB2312"/>
                <w:sz w:val="21"/>
                <w:shd w:fill="FFFFFF" w:val="clear"/>
              </w:rPr>
              <w:t>5、食堂管理：对伙食供应的日常生产、人员做好管理工作；负责食品质量、消防卫生等安全工作；制定相应的管理流程及应急预案；配合采购人进行物资管理，并做好日常统计等工作。</w:t>
            </w:r>
          </w:p>
          <w:p>
            <w:pPr>
              <w:pStyle w:val="null3"/>
              <w:ind w:firstLine="422"/>
              <w:jc w:val="left"/>
            </w:pPr>
            <w:r>
              <w:rPr>
                <w:rFonts w:ascii="仿宋_GB2312" w:hAnsi="仿宋_GB2312" w:cs="仿宋_GB2312" w:eastAsia="仿宋_GB2312"/>
                <w:sz w:val="21"/>
                <w:b/>
                <w:shd w:fill="FFFFFF" w:val="clear"/>
              </w:rPr>
              <w:t>二、服务要求</w:t>
            </w:r>
          </w:p>
          <w:p>
            <w:pPr>
              <w:pStyle w:val="null3"/>
              <w:ind w:firstLine="420"/>
              <w:jc w:val="left"/>
            </w:pPr>
            <w:r>
              <w:rPr>
                <w:rFonts w:ascii="仿宋_GB2312" w:hAnsi="仿宋_GB2312" w:cs="仿宋_GB2312" w:eastAsia="仿宋_GB2312"/>
                <w:sz w:val="21"/>
                <w:shd w:fill="FFFFFF" w:val="clear"/>
              </w:rPr>
              <w:t>1、大厨3名，小厨2名，共5名厨师劳务外包服务；机关食堂就餐人数约251人，每天早餐、中餐按全员准备，晚餐按值班人数准备；</w:t>
            </w:r>
          </w:p>
          <w:p>
            <w:pPr>
              <w:pStyle w:val="null3"/>
              <w:ind w:firstLine="420"/>
              <w:jc w:val="left"/>
            </w:pPr>
            <w:r>
              <w:rPr>
                <w:rFonts w:ascii="仿宋_GB2312" w:hAnsi="仿宋_GB2312" w:cs="仿宋_GB2312" w:eastAsia="仿宋_GB2312"/>
                <w:sz w:val="21"/>
                <w:shd w:fill="FFFFFF" w:val="clear"/>
              </w:rPr>
              <w:t>2、需满足的要求：职工灶日常食品加工、制作、管理等。</w:t>
            </w:r>
          </w:p>
          <w:p>
            <w:pPr>
              <w:pStyle w:val="null3"/>
              <w:ind w:firstLine="422"/>
              <w:jc w:val="left"/>
            </w:pPr>
            <w:r>
              <w:rPr>
                <w:rFonts w:ascii="仿宋_GB2312" w:hAnsi="仿宋_GB2312" w:cs="仿宋_GB2312" w:eastAsia="仿宋_GB2312"/>
                <w:sz w:val="21"/>
                <w:b/>
                <w:shd w:fill="FFFFFF" w:val="clear"/>
              </w:rPr>
              <w:t>三、商务要求</w:t>
            </w:r>
          </w:p>
          <w:p>
            <w:pPr>
              <w:pStyle w:val="null3"/>
              <w:ind w:firstLine="420"/>
              <w:jc w:val="left"/>
            </w:pPr>
            <w:r>
              <w:rPr>
                <w:rFonts w:ascii="仿宋_GB2312" w:hAnsi="仿宋_GB2312" w:cs="仿宋_GB2312" w:eastAsia="仿宋_GB2312"/>
                <w:sz w:val="21"/>
                <w:shd w:fill="FFFFFF" w:val="clear"/>
              </w:rPr>
              <w:t>1、服务</w:t>
            </w:r>
            <w:r>
              <w:rPr>
                <w:rFonts w:ascii="仿宋_GB2312" w:hAnsi="仿宋_GB2312" w:cs="仿宋_GB2312" w:eastAsia="仿宋_GB2312"/>
                <w:sz w:val="21"/>
                <w:shd w:fill="FFFFFF" w:val="clear"/>
              </w:rPr>
              <w:t>期限</w:t>
            </w:r>
            <w:r>
              <w:rPr>
                <w:rFonts w:ascii="仿宋_GB2312" w:hAnsi="仿宋_GB2312" w:cs="仿宋_GB2312" w:eastAsia="仿宋_GB2312"/>
                <w:sz w:val="21"/>
                <w:shd w:fill="FFFFFF" w:val="clear"/>
              </w:rPr>
              <w:t>：自合同签订之日起一年；</w:t>
            </w:r>
          </w:p>
          <w:p>
            <w:pPr>
              <w:pStyle w:val="null3"/>
              <w:ind w:firstLine="420"/>
              <w:jc w:val="left"/>
            </w:pPr>
            <w:r>
              <w:rPr>
                <w:rFonts w:ascii="仿宋_GB2312" w:hAnsi="仿宋_GB2312" w:cs="仿宋_GB2312" w:eastAsia="仿宋_GB2312"/>
                <w:sz w:val="21"/>
                <w:shd w:fill="FFFFFF" w:val="clear"/>
              </w:rPr>
              <w:t>2、服务地点：采购人指定地点；</w:t>
            </w:r>
          </w:p>
          <w:p>
            <w:pPr>
              <w:pStyle w:val="null3"/>
              <w:ind w:firstLine="420"/>
              <w:jc w:val="left"/>
            </w:pPr>
            <w:r>
              <w:rPr>
                <w:rFonts w:ascii="仿宋_GB2312" w:hAnsi="仿宋_GB2312" w:cs="仿宋_GB2312" w:eastAsia="仿宋_GB2312"/>
                <w:sz w:val="21"/>
                <w:shd w:fill="FFFFFF" w:val="clear"/>
              </w:rPr>
              <w:t>3、考核（验收）标准和方法</w:t>
            </w:r>
          </w:p>
          <w:p>
            <w:pPr>
              <w:pStyle w:val="null3"/>
              <w:ind w:firstLine="420"/>
              <w:jc w:val="left"/>
            </w:pPr>
            <w:r>
              <w:rPr>
                <w:rFonts w:ascii="仿宋_GB2312" w:hAnsi="仿宋_GB2312" w:cs="仿宋_GB2312" w:eastAsia="仿宋_GB2312"/>
                <w:sz w:val="21"/>
                <w:shd w:fill="FFFFFF" w:val="clear"/>
              </w:rPr>
              <w:t>合格</w:t>
            </w:r>
          </w:p>
          <w:p>
            <w:pPr>
              <w:pStyle w:val="null3"/>
              <w:ind w:firstLine="420"/>
              <w:jc w:val="left"/>
            </w:pPr>
            <w:r>
              <w:rPr>
                <w:rFonts w:ascii="仿宋_GB2312" w:hAnsi="仿宋_GB2312" w:cs="仿宋_GB2312" w:eastAsia="仿宋_GB2312"/>
                <w:sz w:val="21"/>
                <w:shd w:fill="FFFFFF" w:val="clear"/>
              </w:rPr>
              <w:t>4、支付方式</w:t>
            </w:r>
          </w:p>
          <w:p>
            <w:pPr>
              <w:pStyle w:val="null3"/>
              <w:ind w:firstLine="420"/>
              <w:jc w:val="left"/>
            </w:pPr>
            <w:r>
              <w:rPr>
                <w:rFonts w:ascii="仿宋_GB2312" w:hAnsi="仿宋_GB2312" w:cs="仿宋_GB2312" w:eastAsia="仿宋_GB2312"/>
                <w:sz w:val="21"/>
                <w:shd w:fill="FFFFFF" w:val="clear"/>
              </w:rPr>
              <w:t>分期付款</w:t>
            </w:r>
          </w:p>
          <w:p>
            <w:pPr>
              <w:pStyle w:val="null3"/>
              <w:ind w:firstLine="420"/>
              <w:jc w:val="left"/>
            </w:pP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、付款方式：</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8.33%。</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8.33%。</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8.33%。</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8.33%。</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8.33%。</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8.33%。</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8.33%。</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8.33%。</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8.33%。</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8.33%。</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8.33%。</w:t>
            </w:r>
          </w:p>
          <w:p>
            <w:pPr>
              <w:pStyle w:val="null3"/>
              <w:ind w:firstLine="420"/>
              <w:jc w:val="left"/>
            </w:pPr>
            <w:r>
              <w:rPr>
                <w:rFonts w:ascii="仿宋_GB2312" w:hAnsi="仿宋_GB2312" w:cs="仿宋_GB2312" w:eastAsia="仿宋_GB2312"/>
                <w:sz w:val="21"/>
                <w:shd w:fill="FFFFFF" w:val="clear"/>
              </w:rPr>
              <w:t>采购包</w:t>
            </w:r>
            <w:r>
              <w:rPr>
                <w:rFonts w:ascii="仿宋_GB2312" w:hAnsi="仿宋_GB2312" w:cs="仿宋_GB2312" w:eastAsia="仿宋_GB2312"/>
                <w:sz w:val="21"/>
                <w:shd w:fill="FFFFFF" w:val="clear"/>
              </w:rPr>
              <w:t>1： 付款条件说明： 按月支付，成交供应商在接受采购人的每一笔付款前，应向采购人方开具相应金额的发票，由采购人办理完相关财政支付手续后支付该笔款项 ，达到付款条件起 30 日内，支付合同总金额的 8.37%。</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、违约责任及解决争议的方法</w:t>
            </w:r>
          </w:p>
          <w:p>
            <w:pPr>
              <w:pStyle w:val="null3"/>
              <w:ind w:firstLine="420"/>
              <w:jc w:val="left"/>
            </w:pPr>
            <w:r>
              <w:rPr>
                <w:rFonts w:ascii="仿宋_GB2312" w:hAnsi="仿宋_GB2312" w:cs="仿宋_GB2312" w:eastAsia="仿宋_GB2312"/>
                <w:sz w:val="21"/>
              </w:rPr>
              <w:t>合同一经签订，不得随意变更、中止或终止。对确需变更、调整或者中止、终止合同的，应按规定履行相应的手续。</w:t>
            </w:r>
            <w:r>
              <w:rPr>
                <w:rFonts w:ascii="仿宋_GB2312" w:hAnsi="仿宋_GB2312" w:cs="仿宋_GB2312" w:eastAsia="仿宋_GB2312"/>
                <w:sz w:val="21"/>
              </w:rPr>
              <w:t>合同执行中发生争议的，甲、乙双方应协商解决，协商达不成一致时，可向甲方所在地人民法院提请诉讼。</w:t>
            </w:r>
          </w:p>
          <w:p>
            <w:pPr>
              <w:pStyle w:val="null3"/>
              <w:ind w:firstLine="422"/>
              <w:jc w:val="left"/>
            </w:pPr>
            <w:r>
              <w:rPr>
                <w:rFonts w:ascii="仿宋_GB2312" w:hAnsi="仿宋_GB2312" w:cs="仿宋_GB2312" w:eastAsia="仿宋_GB2312"/>
                <w:sz w:val="21"/>
                <w:b/>
                <w:shd w:fill="FFFFFF" w:val="clear"/>
              </w:rPr>
              <w:t>四</w:t>
            </w:r>
            <w:r>
              <w:rPr>
                <w:rFonts w:ascii="仿宋_GB2312" w:hAnsi="仿宋_GB2312" w:cs="仿宋_GB2312" w:eastAsia="仿宋_GB2312"/>
                <w:sz w:val="21"/>
                <w:b/>
                <w:shd w:fill="FFFFFF" w:val="clear"/>
              </w:rPr>
              <w:t>、服务标准：合格</w:t>
            </w:r>
            <w:r>
              <w:rPr>
                <w:rFonts w:ascii="仿宋_GB2312" w:hAnsi="仿宋_GB2312" w:cs="仿宋_GB2312" w:eastAsia="仿宋_GB2312"/>
                <w:sz w:val="21"/>
                <w:b/>
                <w:shd w:fill="FFFFFF" w:val="clear"/>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拟投入人员须满足完成采购内容要求的所有事项。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拟投入设备须满足完成采购内容要求的所有事项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按月支付，成交供应商在接受采购人的每一笔付款前，应向采购人方开具相应金额的发票，由采购人办理完相关财政支付手续后支付该笔款项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合同一经签订，不得随意变更、中止或终止。对确需变更、调整或者中止、终止合同的，应按规定履行相应的手续。 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1、各供应商所有分项报价（与最后磋商报价比例一致）同比例下浮。 2、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提供2025年至今已缴纳的1个月的纳税证明或完税证明，依法免税的单位应提供相关证明材料。此项可提供基本资格条件承诺函。供应商需在项目电子化交易系统中按要求上传相应证明文件并进行电子签章。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及被授权代表开标截止前三个月内任意一个月在本单位的社会保险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本合同包不接受联合体投标，提供非联合体投标声明。供应商需在项目电子化交易系统中按要求上传相应证明文件并进行电子签章。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供应商应提交的相关资格证明材料 响应文件封面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食材贮存方案</w:t>
            </w:r>
          </w:p>
        </w:tc>
        <w:tc>
          <w:tcPr>
            <w:tcW w:type="dxa" w:w="2492"/>
          </w:tcPr>
          <w:p>
            <w:pPr>
              <w:pStyle w:val="null3"/>
            </w:pPr>
            <w:r>
              <w:rPr>
                <w:rFonts w:ascii="仿宋_GB2312" w:hAnsi="仿宋_GB2312" w:cs="仿宋_GB2312" w:eastAsia="仿宋_GB2312"/>
              </w:rPr>
              <w:t>评审内容：①食材贮存计划②食材贮存环境要求③食材安全保障措施。评审依据：每一项内容描述详细，切实可行符合项目实际内容得5.0分，①～③项合计得15分。内容①～③项任意一项缺项扣5.0分，扣完为止；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评审内容：①厨房设备使用管理制度②厨房设备安全使用方案③餐具消毒管理方案。评审依据：每一项内容描述详细，切实可行符合项目实际内容得5.0分，①～③项合计得15分。内容①～③项任意一项缺项扣5.0分，扣完为止；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评审内容：①食品选材标准②营养搭配方案③出餐时间保证方案。评审依据：每一项内容描述详细，切实可行符合项目实际内容得4.0分，①～③项合计得12分。内容①～③项任意一项缺项扣4.0分，扣完为止；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停水停电停气②食物中毒③防火防盗④临时用餐。评审依据：每一项内容描述详细，切实可行符合项目实际内容得2.0分，①～④项合计得8分。内容①～④项任意一项缺项扣2.0分，扣完为止；内容①～④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人员组织方案</w:t>
            </w:r>
          </w:p>
        </w:tc>
        <w:tc>
          <w:tcPr>
            <w:tcW w:type="dxa" w:w="2492"/>
          </w:tcPr>
          <w:p>
            <w:pPr>
              <w:pStyle w:val="null3"/>
            </w:pPr>
            <w:r>
              <w:rPr>
                <w:rFonts w:ascii="仿宋_GB2312" w:hAnsi="仿宋_GB2312" w:cs="仿宋_GB2312" w:eastAsia="仿宋_GB2312"/>
              </w:rPr>
              <w:t>评审内容：①人员岗位职责②人员组成③人员管理制度④相关奖惩措施。评审依据：每一项内容描述详细，切实可行符合项目实际内容得2.0分，①～④项合计得8分。内容①～④项任意一项缺项扣2.0分，扣完为止；内容①～④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的响应时间②所提供服务的重点及难点解决措施③安全质量承诺。评审依据：每一项内容描述详细，切实可行符合项目实际内容得3.0分，①～③项合计得9分。内容①～③项任意一项缺项扣3.0分，扣完为止；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提供2023年1月以来承担过类似项目业绩。（业绩以加盖公章的合同协议书的复印件（或扫描件）为准，若合同上未体现时间，须提供其他有效佐证材料)。每提供一份有效的业绩证明文件得1分，满分3分。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