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19097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71A5969F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7F6D969A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</w:p>
    <w:p w14:paraId="5A06015B">
      <w:pPr>
        <w:spacing w:line="360" w:lineRule="auto"/>
        <w:jc w:val="center"/>
        <w:rPr>
          <w:rFonts w:hint="eastAsia" w:cs="仿宋" w:asciiTheme="minorEastAsia" w:hAnsiTheme="minorEastAsia" w:eastAsiaTheme="minorEastAsia"/>
          <w:b/>
          <w:bCs/>
          <w:color w:val="auto"/>
          <w:sz w:val="44"/>
          <w:szCs w:val="52"/>
          <w:lang w:eastAsia="zh-CN"/>
        </w:rPr>
      </w:pPr>
      <w:r>
        <w:rPr>
          <w:rFonts w:hint="eastAsia" w:cs="仿宋" w:asciiTheme="minorEastAsia" w:hAnsiTheme="minorEastAsia" w:eastAsiaTheme="minorEastAsia"/>
          <w:b/>
          <w:bCs/>
          <w:color w:val="auto"/>
          <w:sz w:val="36"/>
          <w:szCs w:val="36"/>
          <w:lang w:eastAsia="zh-CN"/>
        </w:rPr>
        <w:t>机关食堂副食、蔬菜、肉类等采买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36"/>
          <w:szCs w:val="36"/>
        </w:rPr>
        <w:t>合同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36"/>
          <w:szCs w:val="36"/>
          <w:lang w:eastAsia="zh-CN"/>
        </w:rPr>
        <w:t>（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36"/>
          <w:szCs w:val="36"/>
          <w:lang w:val="en-US" w:eastAsia="zh-CN"/>
        </w:rPr>
        <w:t>三包</w:t>
      </w:r>
      <w:r>
        <w:rPr>
          <w:rFonts w:hint="eastAsia" w:cs="仿宋" w:asciiTheme="minorEastAsia" w:hAnsiTheme="minorEastAsia" w:eastAsiaTheme="minorEastAsia"/>
          <w:b/>
          <w:bCs/>
          <w:color w:val="auto"/>
          <w:sz w:val="36"/>
          <w:szCs w:val="36"/>
          <w:lang w:eastAsia="zh-CN"/>
        </w:rPr>
        <w:t>）</w:t>
      </w:r>
    </w:p>
    <w:p w14:paraId="19013852">
      <w:pPr>
        <w:rPr>
          <w:rFonts w:cs="仿宋" w:asciiTheme="minorEastAsia" w:hAnsiTheme="minorEastAsia" w:eastAsiaTheme="minorEastAsia"/>
          <w:color w:val="auto"/>
        </w:rPr>
      </w:pPr>
    </w:p>
    <w:p w14:paraId="2A1CC42D">
      <w:pPr>
        <w:rPr>
          <w:rFonts w:cs="仿宋" w:asciiTheme="minorEastAsia" w:hAnsiTheme="minorEastAsia" w:eastAsiaTheme="minorEastAsia"/>
          <w:color w:val="auto"/>
        </w:rPr>
      </w:pPr>
    </w:p>
    <w:p w14:paraId="250A3984">
      <w:pPr>
        <w:rPr>
          <w:rFonts w:cs="仿宋" w:asciiTheme="minorEastAsia" w:hAnsiTheme="minorEastAsia" w:eastAsiaTheme="minorEastAsia"/>
          <w:color w:val="auto"/>
        </w:rPr>
      </w:pPr>
    </w:p>
    <w:p w14:paraId="0DD67E43">
      <w:pPr>
        <w:rPr>
          <w:rFonts w:cs="仿宋" w:asciiTheme="minorEastAsia" w:hAnsiTheme="minorEastAsia" w:eastAsiaTheme="minorEastAsia"/>
          <w:color w:val="auto"/>
        </w:rPr>
      </w:pPr>
    </w:p>
    <w:p w14:paraId="2BF8ED95">
      <w:pPr>
        <w:rPr>
          <w:rFonts w:cs="仿宋" w:asciiTheme="minorEastAsia" w:hAnsiTheme="minorEastAsia" w:eastAsiaTheme="minorEastAsia"/>
          <w:color w:val="auto"/>
        </w:rPr>
      </w:pPr>
    </w:p>
    <w:p w14:paraId="479BF56D">
      <w:pPr>
        <w:jc w:val="center"/>
        <w:rPr>
          <w:rFonts w:cs="仿宋" w:asciiTheme="minorEastAsia" w:hAnsiTheme="minorEastAsia" w:eastAsiaTheme="minorEastAsia"/>
          <w:b/>
          <w:color w:val="auto"/>
          <w:sz w:val="36"/>
          <w:szCs w:val="36"/>
        </w:rPr>
      </w:pPr>
      <w:r>
        <w:rPr>
          <w:rFonts w:hint="eastAsia" w:cs="仿宋" w:asciiTheme="minorEastAsia" w:hAnsiTheme="minorEastAsia" w:eastAsiaTheme="minorEastAsia"/>
          <w:b/>
          <w:color w:val="auto"/>
          <w:sz w:val="36"/>
          <w:szCs w:val="36"/>
        </w:rPr>
        <w:t>（示范文本）</w:t>
      </w:r>
    </w:p>
    <w:p w14:paraId="3F37004E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2C799F66">
      <w:pPr>
        <w:spacing w:line="560" w:lineRule="exact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</w:p>
    <w:p w14:paraId="206EDD4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8920792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0FA79E29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2E538705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58C1696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7925F664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481341CD">
      <w:pPr>
        <w:adjustRightInd w:val="0"/>
        <w:snapToGrid w:val="0"/>
        <w:spacing w:line="360" w:lineRule="auto"/>
        <w:outlineLvl w:val="0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</w:pPr>
    </w:p>
    <w:p w14:paraId="61EBDD2B">
      <w:pPr>
        <w:adjustRightInd w:val="0"/>
        <w:snapToGrid w:val="0"/>
        <w:spacing w:line="360" w:lineRule="auto"/>
        <w:jc w:val="center"/>
        <w:outlineLvl w:val="0"/>
        <w:rPr>
          <w:rFonts w:ascii="宋体" w:hAnsi="宋体"/>
          <w:b/>
          <w:bCs/>
          <w:color w:val="auto"/>
          <w:kern w:val="0"/>
          <w:sz w:val="30"/>
          <w:u w:val="singl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签订日期：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年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月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kern w:val="0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u w:val="none"/>
          <w:lang w:val="en-US" w:eastAsia="zh-CN"/>
        </w:rPr>
        <w:t xml:space="preserve"> 日</w:t>
      </w:r>
    </w:p>
    <w:p w14:paraId="28A3E90C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53E14EE0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3D227A6D">
      <w:pPr>
        <w:pStyle w:val="2"/>
        <w:rPr>
          <w:rFonts w:hint="eastAsia"/>
        </w:rPr>
      </w:pPr>
    </w:p>
    <w:p w14:paraId="03C2D514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4B43CBC9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3E826DCE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19ADC930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17ED20BE">
      <w:pPr>
        <w:snapToGrid w:val="0"/>
        <w:spacing w:line="360" w:lineRule="auto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</w:p>
    <w:p w14:paraId="13CFB313">
      <w:pPr>
        <w:snapToGrid w:val="0"/>
        <w:spacing w:line="360" w:lineRule="auto"/>
        <w:jc w:val="center"/>
        <w:rPr>
          <w:rFonts w:hint="eastAsia" w:ascii="宋体" w:hAnsi="宋体" w:eastAsia="宋体" w:cs="宋体"/>
          <w:b/>
          <w:color w:val="auto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highlight w:val="none"/>
        </w:rPr>
        <w:t>第一部分  协议书</w:t>
      </w:r>
    </w:p>
    <w:p w14:paraId="3AEAB5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甲方（采购人)：</w:t>
      </w:r>
    </w:p>
    <w:p w14:paraId="48138F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3A1A50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乙方（供应商)：</w:t>
      </w:r>
    </w:p>
    <w:p w14:paraId="214F16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rPr>
          <w:rFonts w:hint="eastAsia" w:ascii="宋体" w:hAnsi="宋体" w:eastAsia="宋体" w:cs="宋体"/>
          <w:color w:val="auto"/>
          <w:spacing w:val="15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15"/>
          <w:sz w:val="24"/>
          <w:szCs w:val="24"/>
        </w:rPr>
        <w:t>地址：</w:t>
      </w:r>
    </w:p>
    <w:p w14:paraId="78106D2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甲乙双方本着公正、诚信、互惠互利、友好合作的原则，根据《中华人民共和国政府采购法》、《中华人民共和国民法典》及相关法律规定，就由乙方负责向甲方提供</w:t>
      </w:r>
    </w:p>
    <w:p w14:paraId="73D9E9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项目相关事宜，为保证双方的权益，特订立本合同。</w:t>
      </w:r>
    </w:p>
    <w:p w14:paraId="673B55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一、项目概况</w:t>
      </w:r>
    </w:p>
    <w:p w14:paraId="131F7FB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项目名称：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02D18B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项目地点：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；</w:t>
      </w:r>
    </w:p>
    <w:p w14:paraId="2229A4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二、组成本合同的文件</w:t>
      </w:r>
    </w:p>
    <w:p w14:paraId="647EE83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1. 协议书；</w:t>
      </w:r>
    </w:p>
    <w:p w14:paraId="51DA61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 成交通知书、响应文件、竞争性磋商文件、澄清、竞争性磋商补充文件；</w:t>
      </w:r>
    </w:p>
    <w:p w14:paraId="38D244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3. 相关服务建议书；</w:t>
      </w:r>
    </w:p>
    <w:p w14:paraId="289922D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4. 附录，即：附表内相关服务的范围和内容；</w:t>
      </w:r>
    </w:p>
    <w:p w14:paraId="2BB2D0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本合同签订后，双方依法签订的补充协议也是本合同文件的组成部分。</w:t>
      </w:r>
    </w:p>
    <w:p w14:paraId="00D4A93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合同金额</w:t>
      </w:r>
    </w:p>
    <w:p w14:paraId="680449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中标折扣：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</w:t>
      </w:r>
    </w:p>
    <w:p w14:paraId="5167D85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合同折扣即中标折扣，为一次性报价，不受市场价变化或实际工作量变化的影响。合同价格为含税价，供应商（中标人）提供产品所发生的一切税费（包括增值税）等都已包含于合同价款中。</w:t>
      </w:r>
    </w:p>
    <w:p w14:paraId="4A68A6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结算方式：</w:t>
      </w:r>
    </w:p>
    <w:p w14:paraId="1887BB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firstLine="475" w:firstLineChars="198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转账：根据供货单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据实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结算，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在接受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的每一笔付款前，应向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开具相应金额的发票。</w:t>
      </w:r>
    </w:p>
    <w:p w14:paraId="338DB44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40" w:lineRule="exact"/>
        <w:ind w:leftChars="0" w:firstLine="482" w:firstLineChars="200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五、服务内容（采购清单）</w:t>
      </w:r>
    </w:p>
    <w:tbl>
      <w:tblPr>
        <w:tblStyle w:val="3"/>
        <w:tblW w:w="9438" w:type="dxa"/>
        <w:tblInd w:w="12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322"/>
        <w:gridCol w:w="7249"/>
      </w:tblGrid>
      <w:tr w14:paraId="147F686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tblHeader/>
        </w:trPr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1D3C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32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F3AE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品名</w:t>
            </w:r>
          </w:p>
        </w:tc>
        <w:tc>
          <w:tcPr>
            <w:tcW w:w="72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F68A1B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质量要求</w:t>
            </w:r>
          </w:p>
        </w:tc>
      </w:tr>
      <w:tr w14:paraId="5ED547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DB44F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8F042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五花肉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7BC8AC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鲜肉，肥瘦比例为7:3，肉呈均匀的红色，有光泽，肉质紧密，有坚实感；肉的外表及切面微湿润，不粘手，脂肪洁白。</w:t>
            </w:r>
          </w:p>
        </w:tc>
      </w:tr>
      <w:tr w14:paraId="27E9E53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1213E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2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E12EE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去皮上肉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73DE8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鲜肉，肉呈均匀的红色，有光泽、肉质紧密，有坚实感；肉的外表及切面微湿润，不粘手，脂肪洁白。</w:t>
            </w:r>
          </w:p>
        </w:tc>
      </w:tr>
      <w:tr w14:paraId="275556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165D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3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28609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瘦肉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2E06A9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脂肪含量低于5%。肉呈均匀的红色，有光泽，肉质紧密，有坚实感；肉的外表及切面微湿润，不粘手。</w:t>
            </w:r>
          </w:p>
        </w:tc>
      </w:tr>
      <w:tr w14:paraId="03D2FB5F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4FB9B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4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E3FC4B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肉眼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54CF2C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新鲜、肥瘦比例7:3，肉呈均匀的红色，有光泽。</w:t>
            </w:r>
          </w:p>
        </w:tc>
      </w:tr>
      <w:tr w14:paraId="4AEF009D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B4FF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5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7809F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猪手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F8D689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干净、完整、无毛、无黑斑、无指甲、表皮光滑、肉质有弹性</w:t>
            </w:r>
          </w:p>
        </w:tc>
      </w:tr>
      <w:tr w14:paraId="5A053BB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163A6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6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5A1B7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猪心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AD0CE5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无异味，交货以干净、新鲜要求为标准。</w:t>
            </w:r>
          </w:p>
        </w:tc>
      </w:tr>
      <w:tr w14:paraId="2B4154F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EDE27B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7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C55FA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猪肺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A51460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整体呈红褐色或棕黄色，有光泽，湿润，略有弹性，组织结实，微实，肝叶完整，无脂肪，无寄生虫、炎症水疱、薄膜，无胆汁污染，略有鱼腥味。</w:t>
            </w:r>
          </w:p>
        </w:tc>
      </w:tr>
      <w:tr w14:paraId="33CC9F88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E0A57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8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C2A78C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猪肚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CC8326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新鲜、无寄生虫、炎症水疱、薄膜，无胆汁污染，略有鱼腥味。</w:t>
            </w:r>
          </w:p>
        </w:tc>
      </w:tr>
      <w:tr w14:paraId="3C593485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641B50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9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789C69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猪耳朵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BE78D5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必须去除一切毛污物，无异味，交货以干净、新鲜、大小适合规格要求为标准。</w:t>
            </w:r>
          </w:p>
        </w:tc>
      </w:tr>
      <w:tr w14:paraId="24DDB4F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9B6971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10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35CD24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排骨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096756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带肉的排骨，排骨带少量肉，不带肥油，厚实，完整，不得剔降，骨肉不分离</w:t>
            </w:r>
          </w:p>
        </w:tc>
      </w:tr>
      <w:tr w14:paraId="1658EF2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C0EEE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11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8489CA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龙骨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33150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剔除了里脊肉的脊椎骨，色泽肉红，不带皮，不带油</w:t>
            </w:r>
          </w:p>
        </w:tc>
      </w:tr>
      <w:tr w14:paraId="4C400C2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A3C97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12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8E4F1D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筒骨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B1112A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腿骨、圆管形、浅黄骨髓充满全部管状骨腔，带部分肌肉</w:t>
            </w:r>
          </w:p>
        </w:tc>
      </w:tr>
      <w:tr w14:paraId="2F5DD57E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7787D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13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84399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猪腰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7EC87D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表面有一层光亮的薄膜、呈浅红色、柔软有光泽、有弹性</w:t>
            </w:r>
          </w:p>
        </w:tc>
      </w:tr>
      <w:tr w14:paraId="4638FE77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867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54CAE5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14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B907F7">
            <w:pPr>
              <w:pStyle w:val="5"/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猪大肠</w:t>
            </w:r>
          </w:p>
        </w:tc>
        <w:tc>
          <w:tcPr>
            <w:tcW w:w="724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4DF379">
            <w:pPr>
              <w:pStyle w:val="5"/>
              <w:snapToGrid w:val="0"/>
              <w:ind w:left="0" w:leftChars="0" w:right="0" w:righ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呈浅黄、无黑斑、柔软、表面光滑湿润、无异物、极小味道</w:t>
            </w:r>
          </w:p>
        </w:tc>
      </w:tr>
    </w:tbl>
    <w:p w14:paraId="57859A8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注：采购人具体采购品种包含但不限于以上品种。若采购清单上有部分货物因为季节或其他特殊原因无法提供，经采购人同意后方可调换其他品种。结算也以实际供货验收单为准。</w:t>
      </w:r>
    </w:p>
    <w:p w14:paraId="766D1AE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2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六、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配送要求：</w:t>
      </w:r>
    </w:p>
    <w:p w14:paraId="3DD27B7B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（1）供应商须根据食堂要求提供的所有食材的具体品类、规格来供应产品，保质保量，准时准点满足食堂需求；</w:t>
      </w:r>
    </w:p>
    <w:p w14:paraId="4D2DE83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（2）供应商自备送货车（冷藏或恒温），安排专人及时供货，装卸费、送货费用及运输安全由供应商承担；</w:t>
      </w:r>
    </w:p>
    <w:p w14:paraId="03B99278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（3）肉类原则上要求每天送货1次，确保食材的新鲜；</w:t>
      </w:r>
    </w:p>
    <w:p w14:paraId="04AD327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20" w:lineRule="exact"/>
        <w:ind w:firstLine="48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（4）特殊情况下，食堂需要的急用物资，供应商应予以满足解决；</w:t>
      </w:r>
    </w:p>
    <w:p w14:paraId="1BD2DEB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（5）所有食材供应商必须按照采购人要求的种类、规格进行供货，满足采购人使用需求。所有食材配送服务均以采购人通知为准，采购人有权根据实际需求量随时调整采购计划及供货时间段。</w:t>
      </w:r>
    </w:p>
    <w:p w14:paraId="30E5E73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七、配送服务期限及内容：</w:t>
      </w:r>
    </w:p>
    <w:p w14:paraId="34C62CE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服务期：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2026年5月1日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至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2027年4月30日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617E7F3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在合同期内，乙方按甲方订购的品种、数量、质量准时向甲方提供配送服务。QQ、微信、传真或邮件等方式向乙方下订单（以上订单方式确定选择一种），以确保采购食材能按时完成并及时送达，过时不予接受订单。订单内容应清楚说明品名、数量、质量及特殊要求等。(特殊情况除外)</w:t>
      </w:r>
    </w:p>
    <w:p w14:paraId="4DC1FEE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送货：所有食材采购及配送时间均以甲方通知为准，将所订购的食材送至甲方指定地点。乙方所供的货品必须按甲方所规定的配送时间准时送达，到货后乙方需协助甲方的工作人员过秤入库。如果因食材质量和送货时间延迟未送达到甲方指定地点，累计超过3次甲方有权停止供货商当月送货。　</w:t>
      </w:r>
    </w:p>
    <w:p w14:paraId="4FE9665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7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验收标准</w:t>
      </w:r>
      <w:r>
        <w:rPr>
          <w:rFonts w:hint="eastAsia" w:ascii="宋体" w:hAnsi="宋体" w:cs="宋体"/>
          <w:b/>
          <w:bCs/>
          <w:color w:val="auto"/>
          <w:sz w:val="24"/>
          <w:szCs w:val="24"/>
          <w:lang w:eastAsia="zh-CN"/>
        </w:rPr>
        <w:t>：</w:t>
      </w:r>
    </w:p>
    <w:p w14:paraId="211A44A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库管、采购员负责入库食品检验，值班厨师配合质量验收，食品验收填写《原料购进验收单》，验收标准如下：</w:t>
      </w:r>
    </w:p>
    <w:p w14:paraId="3791993C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非定型包装的食品（或原材料）需进行感官检查：若发现腐败变质、油脂酸度、霉变、生虫、不洁，混有异物或者其他感官性状异常现象，不得入库；未经卫生检验部门或者检验不合格的肉类及其制品不得入库；掺假、掺杂、伪造的食品不得入库。</w:t>
      </w:r>
    </w:p>
    <w:p w14:paraId="14D01FC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必须符合国家有关标准，有产品检验报告。保证无异味、无霉烂变质，如不符合磋商文件所描述的质量标准，必须退货并承担违约责任。</w:t>
      </w:r>
    </w:p>
    <w:p w14:paraId="3AFBC74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（3）货真价实，均能提供相应批次的合格检验证明。</w:t>
      </w:r>
    </w:p>
    <w:p w14:paraId="68A3C48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）所提供的鲜肉、骨必须是经过肉检的当日屠宰的新鲜肉，应保持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较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好的外观和质量等级，符合国家食品部门的有关标准，保证无异味、无腐烂变质，无添加瘦肉精，无注水，鲜肉确保每日新鲜(当时屠宰)、无异味，并注明保鲜期。</w:t>
      </w:r>
    </w:p>
    <w:p w14:paraId="5EA0DE1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食堂采购员、库管员和值班厨师共同对所购食品原辅料的质量、数量进行核对验收，验收合格的及时入库，并在《原料购进验收单》上签字确认。不合格产品应及时退回供应商，同时做好验收记录。食堂厨师长不定时抽查。</w:t>
      </w:r>
    </w:p>
    <w:p w14:paraId="52C016C3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）入库时，保管员要清点入库物品的数量、规格，做到数量、规格、品种准确无误，入库时按不同的材质、规格、功能和要求，分类、分别储存，做到账物相符。</w:t>
      </w:r>
    </w:p>
    <w:p w14:paraId="6528338F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七、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甲方的权利和义务</w:t>
      </w:r>
    </w:p>
    <w:p w14:paraId="1F13399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（1）在乙方无违约的前提下，甲方委托乙方作为定点采购配送单位，承担本合同类的食堂原材料采购配送工作；</w:t>
      </w:r>
    </w:p>
    <w:p w14:paraId="34423AB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（2）甲方有权监督乙方的原材料采购配送工作；</w:t>
      </w:r>
    </w:p>
    <w:p w14:paraId="26B7BB2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（3）甲方对乙方所配送食材进行检查，发现过期，损坏等不合格食材，甲方有权拒收，以确保食材安全卫生；乙方所配送食材经甲方指派人员签字后方可视为安全食材；</w:t>
      </w:r>
    </w:p>
    <w:p w14:paraId="0E355CC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（4）甲方如有特殊情况，可提前微信图片或电话通知乙方临时增加食材配送工作，乙方应给予积极配合；</w:t>
      </w:r>
    </w:p>
    <w:p w14:paraId="16EFEF3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（5）乙方配送的1/2食材的价格高于采购人考察的市场均价10%以上的，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经双方协商无果后，甲方可以提前终止合同。</w:t>
      </w:r>
    </w:p>
    <w:p w14:paraId="1471984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八、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乙方的权利和义务</w:t>
      </w:r>
    </w:p>
    <w:p w14:paraId="2CDA856A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（1）乙方须按本合同要求，保质保量完成甲方的原材料采购配送工作；</w:t>
      </w:r>
    </w:p>
    <w:p w14:paraId="5BCD795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（2）乙方应指派专人负责甲方原材料采购配送工作，及时收集甲方反馈意见；甲方指定专人检查接收配送产品，如发现不合格产品甲方有权要求乙方更换合格产品，甲方专人签字收货则表明产品无质量问题；</w:t>
      </w:r>
    </w:p>
    <w:p w14:paraId="6A44AF0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（3）乙方在配送过程中应做到安全有序，自觉遵守甲方各项安全管理规章制度。乙方为甲方唯一食材供应商，甲方私自采购食材而出现的食物中毒或其他食品安全事故，其后果由甲方承担。</w:t>
      </w:r>
    </w:p>
    <w:p w14:paraId="59BE456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（4）乙方从甲方得到的采购信息，未经甲方同意，乙方不得向第三方公开，泄漏或使用；</w:t>
      </w:r>
    </w:p>
    <w:p w14:paraId="7A9D87EB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（5）乙方配送食材原材料被食品监督部门检验不合格造成不良后果，由乙方承担全部责任，并承担全部经济损失；</w:t>
      </w:r>
    </w:p>
    <w:p w14:paraId="76C8F3B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（6）食材供应发生群体食物中毒事故，经检验是乙方配送食材原因的，乙方承担相应事故责任，并承担全部经济损失。</w:t>
      </w:r>
    </w:p>
    <w:p w14:paraId="67A7A43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九、违约责任</w:t>
      </w:r>
    </w:p>
    <w:p w14:paraId="42E239A0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、乙方违反合同约定，甲方有权责令其在24小时内整改，如乙方整改后仍不能达到甲方要求，甲方有权解除本合同。</w:t>
      </w:r>
    </w:p>
    <w:p w14:paraId="13661199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、任何一方出现违约情形导致合同无法继续履行的，守约方解除合同应提前7个工作日以书面方式通知对方。</w:t>
      </w:r>
    </w:p>
    <w:p w14:paraId="4B82203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、乙方严格按照甲方订单指定采购食材，如因甲方订单失误造成乙方采购货品错误，乙方不承担责任。</w:t>
      </w:r>
    </w:p>
    <w:p w14:paraId="54CC5851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十、合同生效及其他</w:t>
      </w:r>
    </w:p>
    <w:p w14:paraId="00B33894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1、本合同经双方代表签字加盖公章后生效。</w:t>
      </w:r>
    </w:p>
    <w:p w14:paraId="7B74BA37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2、本合同一式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份，甲方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份、乙方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份。</w:t>
      </w:r>
    </w:p>
    <w:p w14:paraId="557BD85D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520" w:lineRule="exact"/>
        <w:ind w:firstLine="475" w:firstLineChars="198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3、经双方签字核认的送货清单，作为本合同附件同具法律效力。</w:t>
      </w:r>
    </w:p>
    <w:p w14:paraId="45AB92B2">
      <w:pPr>
        <w:pStyle w:val="6"/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20" w:lineRule="exact"/>
        <w:rPr>
          <w:rFonts w:hint="eastAsia" w:ascii="宋体" w:hAnsi="宋体" w:eastAsia="宋体" w:cs="宋体"/>
          <w:color w:val="auto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4、本合同未尽事宜，双方协商解决，发生纠纷时如双方协商不成可申请甲方所在地人民法院裁决。</w:t>
      </w:r>
    </w:p>
    <w:p w14:paraId="3F7E44B9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2645397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E82BD8C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0FBC510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36B0A7B4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5FFCD122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4FFA3A7D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i/>
          <w:color w:val="auto"/>
          <w:sz w:val="24"/>
          <w:szCs w:val="24"/>
        </w:rPr>
      </w:pPr>
    </w:p>
    <w:p w14:paraId="095DDB9B">
      <w:pPr>
        <w:pStyle w:val="6"/>
        <w:snapToGrid w:val="0"/>
        <w:spacing w:line="360" w:lineRule="auto"/>
        <w:ind w:left="0" w:leftChars="0" w:firstLine="0" w:firstLineChars="0"/>
        <w:jc w:val="center"/>
        <w:rPr>
          <w:rFonts w:hint="eastAsia" w:hAnsi="宋体"/>
          <w:color w:val="auto"/>
          <w:szCs w:val="24"/>
        </w:rPr>
      </w:pPr>
      <w:r>
        <w:rPr>
          <w:rFonts w:hint="eastAsia" w:ascii="宋体" w:hAnsi="宋体" w:eastAsia="宋体" w:cs="宋体"/>
          <w:b/>
          <w:i/>
          <w:color w:val="auto"/>
          <w:sz w:val="24"/>
          <w:szCs w:val="24"/>
        </w:rPr>
        <w:t>--------------------签署页无正文-------------------</w:t>
      </w:r>
    </w:p>
    <w:tbl>
      <w:tblPr>
        <w:tblStyle w:val="3"/>
        <w:tblW w:w="9344" w:type="dxa"/>
        <w:jc w:val="center"/>
        <w:tblLayout w:type="autofit"/>
        <w:tblCellMar>
          <w:top w:w="64" w:type="dxa"/>
          <w:left w:w="128" w:type="dxa"/>
          <w:bottom w:w="64" w:type="dxa"/>
          <w:right w:w="128" w:type="dxa"/>
        </w:tblCellMar>
      </w:tblPr>
      <w:tblGrid>
        <w:gridCol w:w="4671"/>
        <w:gridCol w:w="4673"/>
      </w:tblGrid>
      <w:tr w14:paraId="5399A170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31D1EA1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委托方（甲方）单位名称:</w:t>
            </w:r>
          </w:p>
          <w:p w14:paraId="38C91A6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49DC8B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B23B3C6">
            <w:pPr>
              <w:pStyle w:val="7"/>
              <w:snapToGrid w:val="0"/>
              <w:spacing w:line="360" w:lineRule="auto"/>
              <w:ind w:firstLine="0"/>
              <w:jc w:val="both"/>
              <w:outlineLvl w:val="0"/>
              <w:rPr>
                <w:rFonts w:ascii="宋体" w:hAnsi="宋体" w:eastAsia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673" w:type="dxa"/>
            <w:noWrap/>
          </w:tcPr>
          <w:p w14:paraId="6C0D8EEF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承接方（乙方）单位名称:</w:t>
            </w:r>
          </w:p>
          <w:p w14:paraId="36498B1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02AFF0E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（盖章）</w:t>
            </w:r>
          </w:p>
          <w:p w14:paraId="39E2497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48754DAC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470D3EB7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法定代表人：</w:t>
            </w:r>
          </w:p>
          <w:p w14:paraId="0B58C88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6D31F8BB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  <w:p w14:paraId="06F10674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  <w:tc>
          <w:tcPr>
            <w:tcW w:w="4673" w:type="dxa"/>
            <w:noWrap/>
          </w:tcPr>
          <w:p w14:paraId="1DCF43B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法定代表人： </w:t>
            </w:r>
          </w:p>
          <w:p w14:paraId="23FC355C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  <w:p w14:paraId="43B165E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或委托代理人：</w:t>
            </w:r>
          </w:p>
        </w:tc>
      </w:tr>
      <w:tr w14:paraId="2024FAA3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29D866C9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  <w:tc>
          <w:tcPr>
            <w:tcW w:w="4673" w:type="dxa"/>
            <w:noWrap/>
          </w:tcPr>
          <w:p w14:paraId="0A6D305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电话：</w:t>
            </w:r>
          </w:p>
        </w:tc>
      </w:tr>
      <w:tr w14:paraId="3F655B85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7DA42C0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</w:tc>
        <w:tc>
          <w:tcPr>
            <w:tcW w:w="4673" w:type="dxa"/>
            <w:noWrap/>
          </w:tcPr>
          <w:p w14:paraId="0D879223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开户行：</w:t>
            </w:r>
          </w:p>
          <w:p w14:paraId="48863591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2E1D5842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44FDD896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</w:tc>
        <w:tc>
          <w:tcPr>
            <w:tcW w:w="4673" w:type="dxa"/>
            <w:noWrap/>
          </w:tcPr>
          <w:p w14:paraId="318A1775">
            <w:pPr>
              <w:adjustRightInd w:val="0"/>
              <w:snapToGrid w:val="0"/>
              <w:spacing w:line="360" w:lineRule="auto"/>
              <w:rPr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银行帐号：</w:t>
            </w:r>
          </w:p>
          <w:p w14:paraId="17AF3095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</w:p>
        </w:tc>
      </w:tr>
      <w:tr w14:paraId="46665FE1">
        <w:tblPrEx>
          <w:tblCellMar>
            <w:top w:w="64" w:type="dxa"/>
            <w:left w:w="128" w:type="dxa"/>
            <w:bottom w:w="64" w:type="dxa"/>
            <w:right w:w="128" w:type="dxa"/>
          </w:tblCellMar>
        </w:tblPrEx>
        <w:trPr>
          <w:trHeight w:val="0" w:hRule="atLeast"/>
          <w:jc w:val="center"/>
        </w:trPr>
        <w:tc>
          <w:tcPr>
            <w:tcW w:w="4671" w:type="dxa"/>
            <w:noWrap/>
          </w:tcPr>
          <w:p w14:paraId="2D919E28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  <w:tc>
          <w:tcPr>
            <w:tcW w:w="4673" w:type="dxa"/>
            <w:noWrap/>
          </w:tcPr>
          <w:p w14:paraId="52282390">
            <w:pPr>
              <w:adjustRightInd w:val="0"/>
              <w:snapToGrid w:val="0"/>
              <w:spacing w:line="360" w:lineRule="auto"/>
              <w:rPr>
                <w:rFonts w:ascii="宋体" w:hAnsi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 xml:space="preserve">日期：  </w:t>
            </w:r>
          </w:p>
        </w:tc>
      </w:tr>
    </w:tbl>
    <w:p w14:paraId="13C3DA8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A14AF"/>
    <w:rsid w:val="4BFA6F0F"/>
    <w:rsid w:val="64D658FF"/>
    <w:rsid w:val="75E9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6">
    <w:name w:val="大分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宋体"/>
      <w:kern w:val="0"/>
      <w:sz w:val="24"/>
      <w:szCs w:val="20"/>
    </w:rPr>
  </w:style>
  <w:style w:type="paragraph" w:customStyle="1" w:styleId="7">
    <w:name w:val="小标"/>
    <w:basedOn w:val="1"/>
    <w:autoRedefine/>
    <w:qFormat/>
    <w:uiPriority w:val="0"/>
    <w:pPr>
      <w:autoSpaceDE w:val="0"/>
      <w:autoSpaceDN w:val="0"/>
      <w:adjustRightInd w:val="0"/>
      <w:spacing w:line="288" w:lineRule="auto"/>
      <w:ind w:firstLine="480"/>
      <w:jc w:val="left"/>
      <w:textAlignment w:val="baseline"/>
    </w:pPr>
    <w:rPr>
      <w:rFonts w:ascii="黑体" w:eastAsia="黑体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3094</Words>
  <Characters>3153</Characters>
  <Lines>0</Lines>
  <Paragraphs>0</Paragraphs>
  <TotalTime>0</TotalTime>
  <ScaleCrop>false</ScaleCrop>
  <LinksUpToDate>false</LinksUpToDate>
  <CharactersWithSpaces>3319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2026-03-20T06:11:00Z</dcterms:created>
  <dc:creator>pc</dc:creator>
  <cp:lastModifiedBy>pc</cp:lastModifiedBy>
  <dcterms:modified xsi:type="dcterms:W3CDTF">2026-03-23T07:19:42Z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C43D209627204144B6B24B67635B2E39_12</vt:lpwstr>
  </property>
</Properties>
</file>