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47D3A">
      <w:pPr>
        <w:pStyle w:val="17"/>
        <w:jc w:val="center"/>
        <w:outlineLvl w:val="1"/>
        <w:rPr>
          <w:rFonts w:ascii="宋体" w:hAnsi="宋体" w:cs="宋体"/>
          <w:b/>
          <w:bCs/>
          <w:sz w:val="28"/>
          <w:szCs w:val="28"/>
        </w:rPr>
      </w:pPr>
      <w:r>
        <w:rPr>
          <w:rFonts w:ascii="仿宋_GB2312" w:hAnsi="仿宋_GB2312" w:eastAsia="仿宋_GB2312" w:cs="仿宋_GB2312"/>
          <w:b/>
          <w:sz w:val="36"/>
        </w:rPr>
        <w:t>拟签订采购合同文本</w:t>
      </w:r>
    </w:p>
    <w:p w14:paraId="78F7287D">
      <w:pPr>
        <w:spacing w:line="360" w:lineRule="auto"/>
        <w:ind w:firstLine="480" w:firstLineChars="200"/>
        <w:jc w:val="center"/>
        <w:rPr>
          <w:rFonts w:hint="eastAsia" w:ascii="宋体" w:hAnsi="宋体" w:cs="宋体"/>
          <w:sz w:val="24"/>
        </w:rPr>
      </w:pPr>
      <w:r>
        <w:rPr>
          <w:rFonts w:hint="eastAsia" w:ascii="宋体" w:hAnsi="宋体" w:cs="宋体"/>
          <w:sz w:val="24"/>
        </w:rPr>
        <w:t>（此合同样本仅供参考，合同具体细则以双方协定为准）</w:t>
      </w:r>
    </w:p>
    <w:p w14:paraId="44824B99">
      <w:pPr>
        <w:spacing w:line="360" w:lineRule="auto"/>
        <w:ind w:firstLine="562" w:firstLineChars="200"/>
        <w:jc w:val="center"/>
        <w:rPr>
          <w:rFonts w:hint="eastAsia" w:ascii="宋体" w:hAnsi="宋体" w:cs="宋体"/>
          <w:b/>
          <w:bCs/>
          <w:sz w:val="28"/>
          <w:szCs w:val="28"/>
        </w:rPr>
      </w:pPr>
    </w:p>
    <w:p w14:paraId="262A303A">
      <w:pPr>
        <w:spacing w:line="480" w:lineRule="auto"/>
        <w:ind w:firstLine="723" w:firstLineChars="200"/>
        <w:jc w:val="center"/>
        <w:rPr>
          <w:rFonts w:hint="eastAsia" w:ascii="宋体" w:hAnsi="宋体" w:cs="宋体"/>
          <w:b/>
          <w:bCs/>
          <w:kern w:val="0"/>
          <w:sz w:val="36"/>
          <w:szCs w:val="36"/>
          <w:u w:val="none"/>
        </w:rPr>
      </w:pPr>
    </w:p>
    <w:p w14:paraId="2EDFB528">
      <w:pPr>
        <w:spacing w:line="480" w:lineRule="auto"/>
        <w:ind w:firstLine="723" w:firstLineChars="200"/>
        <w:jc w:val="center"/>
        <w:rPr>
          <w:rFonts w:hint="eastAsia" w:ascii="宋体" w:hAnsi="宋体" w:cs="宋体"/>
          <w:b/>
          <w:bCs/>
          <w:kern w:val="0"/>
          <w:sz w:val="36"/>
          <w:szCs w:val="36"/>
          <w:u w:val="none"/>
        </w:rPr>
      </w:pPr>
    </w:p>
    <w:p w14:paraId="7A611C56">
      <w:pPr>
        <w:spacing w:line="480" w:lineRule="auto"/>
        <w:ind w:firstLine="723" w:firstLineChars="200"/>
        <w:jc w:val="center"/>
        <w:rPr>
          <w:rFonts w:hint="eastAsia" w:ascii="宋体" w:hAnsi="宋体" w:cs="宋体"/>
          <w:b/>
          <w:bCs/>
          <w:kern w:val="0"/>
          <w:sz w:val="36"/>
          <w:szCs w:val="36"/>
          <w:u w:val="none"/>
          <w:lang w:val="en-US" w:eastAsia="zh-CN"/>
        </w:rPr>
      </w:pPr>
      <w:r>
        <w:rPr>
          <w:rFonts w:hint="eastAsia" w:ascii="宋体" w:hAnsi="宋体" w:cs="宋体"/>
          <w:b/>
          <w:bCs/>
          <w:kern w:val="0"/>
          <w:sz w:val="36"/>
          <w:szCs w:val="36"/>
          <w:u w:val="none"/>
        </w:rPr>
        <w:t>西安市公安局未央分局机关和驻外单位廉政灶食材</w:t>
      </w:r>
      <w:r>
        <w:rPr>
          <w:rFonts w:hint="eastAsia" w:ascii="宋体" w:hAnsi="宋体" w:cs="宋体"/>
          <w:b/>
          <w:bCs/>
          <w:kern w:val="0"/>
          <w:sz w:val="36"/>
          <w:szCs w:val="36"/>
          <w:u w:val="none"/>
          <w:lang w:val="en-US" w:eastAsia="zh-CN"/>
        </w:rPr>
        <w:t>配送服务项目</w:t>
      </w:r>
    </w:p>
    <w:p w14:paraId="6EFD2500">
      <w:pPr>
        <w:spacing w:line="480" w:lineRule="auto"/>
        <w:ind w:firstLine="723" w:firstLineChars="200"/>
        <w:jc w:val="center"/>
        <w:rPr>
          <w:rFonts w:hint="eastAsia" w:ascii="宋体" w:hAnsi="宋体" w:cs="宋体"/>
          <w:b/>
          <w:bCs/>
          <w:kern w:val="0"/>
          <w:sz w:val="36"/>
          <w:szCs w:val="36"/>
          <w:u w:val="none"/>
          <w:lang w:val="en-US" w:eastAsia="zh-CN"/>
        </w:rPr>
      </w:pPr>
    </w:p>
    <w:p w14:paraId="6304327E">
      <w:pPr>
        <w:spacing w:line="480" w:lineRule="auto"/>
        <w:ind w:firstLine="723" w:firstLineChars="200"/>
        <w:jc w:val="center"/>
        <w:rPr>
          <w:rFonts w:hint="eastAsia" w:ascii="宋体" w:hAnsi="宋体" w:cs="宋体"/>
          <w:b/>
          <w:bCs/>
          <w:kern w:val="0"/>
          <w:sz w:val="36"/>
          <w:szCs w:val="36"/>
          <w:u w:val="none"/>
          <w:lang w:val="en-US" w:eastAsia="zh-CN"/>
        </w:rPr>
      </w:pPr>
    </w:p>
    <w:p w14:paraId="5137A475">
      <w:pPr>
        <w:spacing w:line="480" w:lineRule="auto"/>
        <w:ind w:firstLine="723" w:firstLineChars="200"/>
        <w:jc w:val="center"/>
        <w:rPr>
          <w:rFonts w:hint="eastAsia" w:ascii="宋体" w:hAnsi="宋体" w:cs="宋体"/>
          <w:b/>
          <w:bCs/>
          <w:kern w:val="0"/>
          <w:sz w:val="36"/>
          <w:szCs w:val="36"/>
          <w:u w:val="none"/>
          <w:lang w:val="en-US" w:eastAsia="zh-CN"/>
        </w:rPr>
      </w:pPr>
      <w:r>
        <w:rPr>
          <w:rFonts w:hint="eastAsia" w:ascii="宋体" w:hAnsi="宋体" w:cs="宋体"/>
          <w:b/>
          <w:bCs/>
          <w:kern w:val="0"/>
          <w:sz w:val="36"/>
          <w:szCs w:val="36"/>
          <w:u w:val="none"/>
          <w:lang w:val="en-US" w:eastAsia="zh-CN"/>
        </w:rPr>
        <w:t>服务合同</w:t>
      </w:r>
    </w:p>
    <w:p w14:paraId="78752BE0">
      <w:pPr>
        <w:spacing w:line="480" w:lineRule="auto"/>
        <w:ind w:firstLine="723" w:firstLineChars="200"/>
        <w:jc w:val="center"/>
        <w:rPr>
          <w:rFonts w:hint="eastAsia" w:ascii="宋体" w:hAnsi="宋体" w:cs="宋体"/>
          <w:b/>
          <w:bCs/>
          <w:kern w:val="0"/>
          <w:sz w:val="36"/>
          <w:szCs w:val="36"/>
          <w:u w:val="none"/>
          <w:lang w:val="en-US" w:eastAsia="zh-CN"/>
        </w:rPr>
      </w:pPr>
    </w:p>
    <w:p w14:paraId="29E6D8D3">
      <w:pPr>
        <w:spacing w:line="480" w:lineRule="auto"/>
        <w:ind w:firstLine="723" w:firstLineChars="200"/>
        <w:jc w:val="center"/>
        <w:rPr>
          <w:rFonts w:hint="eastAsia" w:ascii="宋体" w:hAnsi="宋体" w:cs="宋体"/>
          <w:b/>
          <w:bCs/>
          <w:kern w:val="0"/>
          <w:sz w:val="36"/>
          <w:szCs w:val="36"/>
          <w:u w:val="none"/>
          <w:lang w:val="en-US" w:eastAsia="zh-CN"/>
        </w:rPr>
      </w:pPr>
    </w:p>
    <w:p w14:paraId="7ED55578">
      <w:pPr>
        <w:spacing w:line="480" w:lineRule="auto"/>
        <w:ind w:firstLine="723" w:firstLineChars="200"/>
        <w:jc w:val="center"/>
        <w:rPr>
          <w:rFonts w:hint="eastAsia" w:ascii="宋体" w:hAnsi="宋体" w:cs="宋体"/>
          <w:b/>
          <w:bCs/>
          <w:kern w:val="0"/>
          <w:sz w:val="36"/>
          <w:szCs w:val="36"/>
          <w:u w:val="none"/>
          <w:lang w:val="en-US" w:eastAsia="zh-CN"/>
        </w:rPr>
      </w:pPr>
    </w:p>
    <w:p w14:paraId="5E36BCA3">
      <w:pPr>
        <w:spacing w:line="480" w:lineRule="auto"/>
        <w:ind w:firstLine="723" w:firstLineChars="200"/>
        <w:jc w:val="center"/>
        <w:rPr>
          <w:rFonts w:hint="eastAsia" w:ascii="宋体" w:hAnsi="宋体" w:cs="宋体"/>
          <w:b/>
          <w:bCs/>
          <w:kern w:val="0"/>
          <w:sz w:val="36"/>
          <w:szCs w:val="36"/>
          <w:u w:val="none"/>
          <w:lang w:val="en-US" w:eastAsia="zh-CN"/>
        </w:rPr>
      </w:pPr>
    </w:p>
    <w:p w14:paraId="2EE5A107">
      <w:pPr>
        <w:spacing w:line="480" w:lineRule="auto"/>
        <w:ind w:firstLine="723" w:firstLineChars="200"/>
        <w:jc w:val="center"/>
        <w:rPr>
          <w:rFonts w:hint="eastAsia" w:ascii="宋体" w:hAnsi="宋体" w:cs="宋体"/>
          <w:b/>
          <w:bCs/>
          <w:kern w:val="0"/>
          <w:sz w:val="36"/>
          <w:szCs w:val="36"/>
          <w:u w:val="none"/>
          <w:lang w:val="en-US" w:eastAsia="zh-CN"/>
        </w:rPr>
      </w:pPr>
    </w:p>
    <w:p w14:paraId="44A2E09C">
      <w:pPr>
        <w:spacing w:line="480" w:lineRule="auto"/>
        <w:ind w:firstLine="723" w:firstLineChars="200"/>
        <w:jc w:val="center"/>
        <w:rPr>
          <w:rFonts w:hint="eastAsia" w:ascii="宋体" w:hAnsi="宋体" w:cs="宋体"/>
          <w:b/>
          <w:bCs/>
          <w:kern w:val="0"/>
          <w:sz w:val="36"/>
          <w:szCs w:val="36"/>
          <w:u w:val="none"/>
          <w:lang w:val="en-US" w:eastAsia="zh-CN"/>
        </w:rPr>
      </w:pPr>
    </w:p>
    <w:p w14:paraId="0F0F722A">
      <w:pPr>
        <w:spacing w:line="480" w:lineRule="auto"/>
        <w:ind w:firstLine="723" w:firstLineChars="200"/>
        <w:jc w:val="center"/>
        <w:rPr>
          <w:rFonts w:hint="eastAsia" w:ascii="宋体" w:hAnsi="宋体" w:cs="宋体"/>
          <w:b/>
          <w:bCs/>
          <w:kern w:val="0"/>
          <w:sz w:val="36"/>
          <w:szCs w:val="36"/>
          <w:u w:val="none"/>
          <w:lang w:val="en-US" w:eastAsia="zh-CN"/>
        </w:rPr>
      </w:pPr>
      <w:r>
        <w:rPr>
          <w:rFonts w:hint="eastAsia" w:ascii="宋体" w:hAnsi="宋体" w:cs="宋体"/>
          <w:b/>
          <w:bCs/>
          <w:kern w:val="0"/>
          <w:sz w:val="36"/>
          <w:szCs w:val="36"/>
          <w:u w:val="none"/>
          <w:lang w:val="en-US" w:eastAsia="zh-CN"/>
        </w:rPr>
        <w:t>甲方：</w:t>
      </w:r>
      <w:r>
        <w:rPr>
          <w:rFonts w:hint="eastAsia" w:ascii="宋体" w:hAnsi="宋体" w:cs="宋体"/>
          <w:b/>
          <w:bCs/>
          <w:kern w:val="0"/>
          <w:sz w:val="36"/>
          <w:szCs w:val="36"/>
          <w:u w:val="none"/>
        </w:rPr>
        <w:t>西安市公安局未央分局</w:t>
      </w:r>
    </w:p>
    <w:p w14:paraId="0049102C">
      <w:pPr>
        <w:spacing w:line="480" w:lineRule="auto"/>
        <w:ind w:firstLine="723" w:firstLineChars="200"/>
        <w:jc w:val="center"/>
        <w:rPr>
          <w:rFonts w:hint="eastAsia" w:ascii="宋体" w:hAnsi="宋体" w:cs="宋体"/>
          <w:b/>
          <w:bCs/>
          <w:kern w:val="0"/>
          <w:sz w:val="36"/>
          <w:szCs w:val="36"/>
          <w:u w:val="none"/>
          <w:lang w:val="en-US" w:eastAsia="zh-CN"/>
        </w:rPr>
      </w:pPr>
      <w:r>
        <w:rPr>
          <w:rFonts w:hint="eastAsia" w:ascii="宋体" w:hAnsi="宋体" w:cs="宋体"/>
          <w:b/>
          <w:bCs/>
          <w:kern w:val="0"/>
          <w:sz w:val="36"/>
          <w:szCs w:val="36"/>
          <w:u w:val="none"/>
          <w:lang w:val="en-US" w:eastAsia="zh-CN"/>
        </w:rPr>
        <w:t>乙方：</w:t>
      </w:r>
    </w:p>
    <w:p w14:paraId="6C2F994A">
      <w:pPr>
        <w:spacing w:line="480" w:lineRule="auto"/>
        <w:ind w:firstLine="723" w:firstLineChars="200"/>
        <w:jc w:val="center"/>
        <w:rPr>
          <w:rFonts w:hint="default" w:ascii="宋体" w:hAnsi="宋体" w:cs="宋体"/>
          <w:b/>
          <w:bCs/>
          <w:kern w:val="0"/>
          <w:sz w:val="36"/>
          <w:szCs w:val="36"/>
          <w:u w:val="none"/>
          <w:lang w:val="en-US" w:eastAsia="zh-CN"/>
        </w:rPr>
      </w:pPr>
      <w:r>
        <w:rPr>
          <w:rFonts w:hint="eastAsia" w:ascii="宋体" w:hAnsi="宋体" w:cs="宋体"/>
          <w:b/>
          <w:bCs/>
          <w:kern w:val="0"/>
          <w:sz w:val="36"/>
          <w:szCs w:val="36"/>
          <w:u w:val="none"/>
          <w:lang w:val="en-US" w:eastAsia="zh-CN"/>
        </w:rPr>
        <w:t>签订日期：</w:t>
      </w:r>
    </w:p>
    <w:p w14:paraId="2E4F9A1E">
      <w:pPr>
        <w:rPr>
          <w:rFonts w:hint="eastAsia" w:ascii="宋体" w:hAnsi="宋体" w:cs="宋体"/>
          <w:b/>
          <w:bCs/>
          <w:sz w:val="24"/>
        </w:rPr>
      </w:pPr>
      <w:r>
        <w:rPr>
          <w:rFonts w:hint="eastAsia" w:ascii="宋体" w:hAnsi="宋体" w:cs="宋体"/>
          <w:b/>
          <w:bCs/>
          <w:sz w:val="24"/>
        </w:rPr>
        <w:br w:type="page"/>
      </w:r>
    </w:p>
    <w:p w14:paraId="5FE37A9E">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甲方：西安市公安局未央分局</w:t>
      </w:r>
    </w:p>
    <w:p w14:paraId="7894E834">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乙方：</w:t>
      </w:r>
    </w:p>
    <w:p w14:paraId="784AD57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根据《中华人民共和国民法典》、《中华人民共和国政府采购法》及实施条例及</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西安市公安局未央分局机关和驻外单位廉政灶食材配送服务项目</w:t>
      </w:r>
      <w:r>
        <w:rPr>
          <w:rFonts w:hint="eastAsia" w:asciiTheme="minorEastAsia" w:hAnsiTheme="minorEastAsia" w:eastAsiaTheme="minorEastAsia" w:cstheme="minorEastAsia"/>
          <w:sz w:val="24"/>
          <w:szCs w:val="24"/>
          <w:u w:val="single"/>
        </w:rPr>
        <w:t>（项目编号：SXYZ2026ZB-WYFJ-0302）</w:t>
      </w:r>
      <w:r>
        <w:rPr>
          <w:rFonts w:hint="eastAsia" w:asciiTheme="minorEastAsia" w:hAnsiTheme="minorEastAsia" w:eastAsiaTheme="minorEastAsia" w:cstheme="minorEastAsia"/>
          <w:sz w:val="24"/>
          <w:szCs w:val="24"/>
        </w:rPr>
        <w:t>的招标文件、投标文件等有关规定，为确保甲方采购项目的顺利实施，甲、乙双方在平等自愿原则下签订本合同，并共同遵守如下条款：</w:t>
      </w:r>
    </w:p>
    <w:p w14:paraId="14087870">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一、服务内容：</w:t>
      </w:r>
    </w:p>
    <w:p w14:paraId="71440B8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b w:val="0"/>
          <w:bCs w:val="0"/>
          <w:sz w:val="24"/>
          <w:szCs w:val="24"/>
          <w:u w:val="single"/>
        </w:rPr>
      </w:pPr>
      <w:r>
        <w:rPr>
          <w:rFonts w:hint="eastAsia" w:asciiTheme="minorEastAsia" w:hAnsiTheme="minorEastAsia" w:eastAsiaTheme="minorEastAsia" w:cstheme="minorEastAsia"/>
          <w:b w:val="0"/>
          <w:bCs w:val="0"/>
          <w:sz w:val="24"/>
          <w:szCs w:val="24"/>
          <w:u w:val="single"/>
        </w:rPr>
        <w:t>为西安市公安局未央分局</w:t>
      </w:r>
      <w:r>
        <w:rPr>
          <w:rFonts w:hint="eastAsia" w:asciiTheme="minorEastAsia" w:hAnsiTheme="minorEastAsia" w:eastAsiaTheme="minorEastAsia" w:cstheme="minorEastAsia"/>
          <w:b w:val="0"/>
          <w:bCs w:val="0"/>
          <w:sz w:val="24"/>
          <w:szCs w:val="24"/>
          <w:u w:val="single"/>
          <w:lang w:val="en-US" w:eastAsia="zh-CN"/>
        </w:rPr>
        <w:t>机关和驻外单位廉政灶</w:t>
      </w:r>
      <w:r>
        <w:rPr>
          <w:rFonts w:hint="eastAsia" w:asciiTheme="minorEastAsia" w:hAnsiTheme="minorEastAsia" w:eastAsiaTheme="minorEastAsia" w:cstheme="minorEastAsia"/>
          <w:b w:val="0"/>
          <w:bCs w:val="0"/>
          <w:sz w:val="24"/>
          <w:szCs w:val="24"/>
          <w:u w:val="single"/>
        </w:rPr>
        <w:t>配送</w:t>
      </w:r>
      <w:r>
        <w:rPr>
          <w:rFonts w:hint="eastAsia" w:asciiTheme="minorEastAsia" w:hAnsiTheme="minorEastAsia" w:eastAsiaTheme="minorEastAsia" w:cstheme="minorEastAsia"/>
          <w:b w:val="0"/>
          <w:bCs w:val="0"/>
          <w:sz w:val="24"/>
          <w:szCs w:val="24"/>
          <w:u w:val="single"/>
          <w:lang w:val="en-US" w:eastAsia="zh-CN"/>
        </w:rPr>
        <w:t>主副食材等，</w:t>
      </w:r>
      <w:r>
        <w:rPr>
          <w:rFonts w:hint="eastAsia" w:asciiTheme="minorEastAsia" w:hAnsiTheme="minorEastAsia" w:cstheme="minorEastAsia"/>
          <w:b w:val="0"/>
          <w:bCs w:val="0"/>
          <w:sz w:val="24"/>
          <w:szCs w:val="24"/>
          <w:u w:val="single"/>
          <w:lang w:val="en-US" w:eastAsia="zh-CN"/>
        </w:rPr>
        <w:t>乙方</w:t>
      </w:r>
      <w:r>
        <w:rPr>
          <w:rFonts w:hint="eastAsia" w:asciiTheme="minorEastAsia" w:hAnsiTheme="minorEastAsia" w:eastAsiaTheme="minorEastAsia" w:cstheme="minorEastAsia"/>
          <w:b w:val="0"/>
          <w:bCs w:val="0"/>
          <w:sz w:val="24"/>
          <w:szCs w:val="24"/>
          <w:u w:val="single"/>
        </w:rPr>
        <w:t>每日在约定时间提供新鲜食材及原料，保证食</w:t>
      </w:r>
      <w:r>
        <w:rPr>
          <w:rFonts w:hint="eastAsia" w:asciiTheme="minorEastAsia" w:hAnsiTheme="minorEastAsia" w:eastAsiaTheme="minorEastAsia" w:cstheme="minorEastAsia"/>
          <w:b w:val="0"/>
          <w:bCs w:val="0"/>
          <w:sz w:val="24"/>
          <w:szCs w:val="24"/>
          <w:u w:val="single"/>
          <w:lang w:val="en-US" w:eastAsia="zh-CN"/>
        </w:rPr>
        <w:t>材质量</w:t>
      </w:r>
      <w:r>
        <w:rPr>
          <w:rFonts w:hint="eastAsia" w:asciiTheme="minorEastAsia" w:hAnsiTheme="minorEastAsia" w:eastAsiaTheme="minorEastAsia" w:cstheme="minorEastAsia"/>
          <w:b w:val="0"/>
          <w:bCs w:val="0"/>
          <w:sz w:val="24"/>
          <w:szCs w:val="24"/>
          <w:u w:val="single"/>
        </w:rPr>
        <w:t>。</w:t>
      </w:r>
    </w:p>
    <w:p w14:paraId="7A424544">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二、合同价款</w:t>
      </w:r>
    </w:p>
    <w:p w14:paraId="0E30D1F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lang w:val="en-US" w:eastAsia="zh-CN"/>
        </w:rPr>
        <w:t>1、</w:t>
      </w:r>
      <w:r>
        <w:rPr>
          <w:rFonts w:hint="eastAsia" w:asciiTheme="minorEastAsia" w:hAnsiTheme="minorEastAsia" w:eastAsiaTheme="minorEastAsia" w:cstheme="minorEastAsia"/>
          <w:color w:val="000000"/>
          <w:sz w:val="24"/>
          <w:szCs w:val="24"/>
        </w:rPr>
        <w:t>甲方通过公开招标方式，接受了乙方以</w:t>
      </w:r>
      <w:r>
        <w:rPr>
          <w:rFonts w:hint="eastAsia" w:asciiTheme="minorEastAsia" w:hAnsiTheme="minorEastAsia" w:eastAsiaTheme="minorEastAsia" w:cstheme="minorEastAsia"/>
          <w:b/>
          <w:bCs/>
          <w:color w:val="000000"/>
          <w:sz w:val="24"/>
          <w:szCs w:val="24"/>
          <w:lang w:val="en-US" w:eastAsia="zh-CN"/>
        </w:rPr>
        <w:t>折扣率</w:t>
      </w:r>
      <w:r>
        <w:rPr>
          <w:rFonts w:hint="eastAsia" w:asciiTheme="minorEastAsia" w:hAnsiTheme="minorEastAsia" w:eastAsiaTheme="minorEastAsia" w:cstheme="minorEastAsia"/>
          <w:color w:val="000000"/>
          <w:sz w:val="24"/>
          <w:szCs w:val="24"/>
        </w:rPr>
        <w:t>大写</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000000"/>
          <w:sz w:val="24"/>
          <w:szCs w:val="24"/>
          <w:u w:val="single"/>
        </w:rPr>
        <w:t xml:space="preserve"> (以下简称“合同价”)</w:t>
      </w:r>
      <w:r>
        <w:rPr>
          <w:rFonts w:hint="eastAsia" w:asciiTheme="minorEastAsia" w:hAnsiTheme="minorEastAsia" w:eastAsiaTheme="minorEastAsia" w:cstheme="minorEastAsia"/>
          <w:color w:val="000000"/>
          <w:sz w:val="24"/>
          <w:szCs w:val="24"/>
        </w:rPr>
        <w:t>提供合同条款所述服务</w:t>
      </w:r>
      <w:r>
        <w:rPr>
          <w:rFonts w:hint="eastAsia" w:asciiTheme="minorEastAsia" w:hAnsiTheme="minorEastAsia" w:eastAsiaTheme="minorEastAsia" w:cstheme="minorEastAsia"/>
          <w:sz w:val="24"/>
          <w:szCs w:val="24"/>
        </w:rPr>
        <w:t>。</w:t>
      </w:r>
    </w:p>
    <w:p w14:paraId="7C84D19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合同总价包括但不限于：人工费、车辆交通费、住宿费、管理费、办公、人员人身相关保险费、项目实施费用以及国家按现行税率征收的一切税费、不可抗力因素的可预见和不可预见费用等。</w:t>
      </w:r>
    </w:p>
    <w:p w14:paraId="77F4436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定价机制</w:t>
      </w: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b w:val="0"/>
          <w:bCs w:val="0"/>
          <w:color w:val="auto"/>
          <w:sz w:val="24"/>
          <w:szCs w:val="24"/>
          <w:lang w:val="en-US" w:eastAsia="zh-CN"/>
        </w:rPr>
        <w:t>甲方</w:t>
      </w:r>
      <w:r>
        <w:rPr>
          <w:rFonts w:hint="eastAsia" w:asciiTheme="minorEastAsia" w:hAnsiTheme="minorEastAsia" w:eastAsiaTheme="minorEastAsia" w:cstheme="minorEastAsia"/>
          <w:b w:val="0"/>
          <w:bCs w:val="0"/>
          <w:color w:val="auto"/>
          <w:sz w:val="24"/>
          <w:szCs w:val="24"/>
        </w:rPr>
        <w:t>根据西安市农业农村局相近日期(周一至周五)公布的价格行情中零售市场每个市场及品目的平均价格</w:t>
      </w:r>
      <w:r>
        <w:rPr>
          <w:rFonts w:hint="eastAsia" w:asciiTheme="minorEastAsia" w:hAnsiTheme="minorEastAsia" w:eastAsiaTheme="minorEastAsia" w:cstheme="minorEastAsia"/>
          <w:b w:val="0"/>
          <w:bCs w:val="0"/>
          <w:color w:val="auto"/>
          <w:sz w:val="24"/>
          <w:szCs w:val="24"/>
          <w:lang w:val="en-US" w:eastAsia="zh-CN"/>
        </w:rPr>
        <w:t>以及各个供应市场的食材价格、大型超市食材价格作</w:t>
      </w:r>
      <w:r>
        <w:rPr>
          <w:rFonts w:hint="eastAsia" w:asciiTheme="minorEastAsia" w:hAnsiTheme="minorEastAsia" w:eastAsiaTheme="minorEastAsia" w:cstheme="minorEastAsia"/>
          <w:b w:val="0"/>
          <w:bCs w:val="0"/>
          <w:color w:val="auto"/>
          <w:sz w:val="24"/>
          <w:szCs w:val="24"/>
        </w:rPr>
        <w:t>为</w:t>
      </w:r>
      <w:r>
        <w:rPr>
          <w:rFonts w:hint="eastAsia" w:asciiTheme="minorEastAsia" w:hAnsiTheme="minorEastAsia" w:eastAsiaTheme="minorEastAsia" w:cstheme="minorEastAsia"/>
          <w:b w:val="0"/>
          <w:bCs w:val="0"/>
          <w:color w:val="auto"/>
          <w:sz w:val="24"/>
          <w:szCs w:val="24"/>
          <w:lang w:val="en-US" w:eastAsia="zh-CN"/>
        </w:rPr>
        <w:t>合同履行中每阶段</w:t>
      </w:r>
      <w:r>
        <w:rPr>
          <w:rFonts w:hint="eastAsia" w:asciiTheme="minorEastAsia" w:hAnsiTheme="minorEastAsia" w:eastAsiaTheme="minorEastAsia" w:cstheme="minorEastAsia"/>
          <w:b w:val="0"/>
          <w:bCs w:val="0"/>
          <w:color w:val="auto"/>
          <w:sz w:val="24"/>
          <w:szCs w:val="24"/>
        </w:rPr>
        <w:t>食材价格</w:t>
      </w:r>
      <w:r>
        <w:rPr>
          <w:rFonts w:hint="eastAsia" w:asciiTheme="minorEastAsia" w:hAnsiTheme="minorEastAsia" w:eastAsiaTheme="minorEastAsia" w:cstheme="minorEastAsia"/>
          <w:b w:val="0"/>
          <w:bCs w:val="0"/>
          <w:color w:val="auto"/>
          <w:sz w:val="24"/>
          <w:szCs w:val="24"/>
          <w:lang w:val="en-US" w:eastAsia="zh-CN"/>
        </w:rPr>
        <w:t>定价</w:t>
      </w:r>
      <w:r>
        <w:rPr>
          <w:rFonts w:hint="eastAsia" w:asciiTheme="minorEastAsia" w:hAnsiTheme="minorEastAsia" w:eastAsiaTheme="minorEastAsia" w:cstheme="minorEastAsia"/>
          <w:b w:val="0"/>
          <w:bCs w:val="0"/>
          <w:color w:val="auto"/>
          <w:sz w:val="24"/>
          <w:szCs w:val="24"/>
        </w:rPr>
        <w:t>依据，此价格行情中没有的品目以</w:t>
      </w:r>
      <w:r>
        <w:rPr>
          <w:rFonts w:hint="eastAsia" w:asciiTheme="minorEastAsia" w:hAnsiTheme="minorEastAsia" w:cstheme="minorEastAsia"/>
          <w:b w:val="0"/>
          <w:bCs w:val="0"/>
          <w:color w:val="auto"/>
          <w:sz w:val="24"/>
          <w:szCs w:val="24"/>
          <w:lang w:eastAsia="zh-CN"/>
        </w:rPr>
        <w:t>甲方</w:t>
      </w:r>
      <w:r>
        <w:rPr>
          <w:rFonts w:hint="eastAsia" w:asciiTheme="minorEastAsia" w:hAnsiTheme="minorEastAsia" w:eastAsiaTheme="minorEastAsia" w:cstheme="minorEastAsia"/>
          <w:b w:val="0"/>
          <w:bCs w:val="0"/>
          <w:color w:val="auto"/>
          <w:sz w:val="24"/>
          <w:szCs w:val="24"/>
        </w:rPr>
        <w:t>及</w:t>
      </w:r>
      <w:r>
        <w:rPr>
          <w:rFonts w:hint="eastAsia" w:asciiTheme="minorEastAsia" w:hAnsiTheme="minorEastAsia" w:cstheme="minorEastAsia"/>
          <w:b w:val="0"/>
          <w:bCs w:val="0"/>
          <w:color w:val="auto"/>
          <w:sz w:val="24"/>
          <w:szCs w:val="24"/>
          <w:lang w:eastAsia="zh-CN"/>
        </w:rPr>
        <w:t>乙方</w:t>
      </w:r>
      <w:r>
        <w:rPr>
          <w:rFonts w:hint="eastAsia" w:asciiTheme="minorEastAsia" w:hAnsiTheme="minorEastAsia" w:eastAsiaTheme="minorEastAsia" w:cstheme="minorEastAsia"/>
          <w:b w:val="0"/>
          <w:bCs w:val="0"/>
          <w:color w:val="auto"/>
          <w:sz w:val="24"/>
          <w:szCs w:val="24"/>
        </w:rPr>
        <w:t>共同确定的的市场询价为依据，按实际发生的量进行据实结算</w:t>
      </w:r>
      <w:r>
        <w:rPr>
          <w:rFonts w:hint="eastAsia" w:asciiTheme="minorEastAsia" w:hAnsiTheme="minorEastAsia" w:eastAsiaTheme="minorEastAsia" w:cstheme="minorEastAsia"/>
          <w:sz w:val="24"/>
          <w:szCs w:val="24"/>
        </w:rPr>
        <w:t>。</w:t>
      </w:r>
    </w:p>
    <w:p w14:paraId="7BD1F03D">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三、付款方式</w:t>
      </w:r>
    </w:p>
    <w:p w14:paraId="24F07F46">
      <w:pPr>
        <w:keepNext w:val="0"/>
        <w:keepLines w:val="0"/>
        <w:pageBreakBefore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1、合同签订后，按季度支付，中标人在接受</w:t>
      </w:r>
      <w:r>
        <w:rPr>
          <w:rFonts w:hint="eastAsia" w:asciiTheme="minorEastAsia" w:hAnsi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lang w:val="en-US" w:eastAsia="zh-CN"/>
        </w:rPr>
        <w:t>的每一笔付款前，应向</w:t>
      </w:r>
      <w:r>
        <w:rPr>
          <w:rFonts w:hint="eastAsia" w:asciiTheme="minorEastAsia" w:hAnsi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lang w:val="en-US" w:eastAsia="zh-CN"/>
        </w:rPr>
        <w:t>开具相应金额的发票。</w:t>
      </w:r>
    </w:p>
    <w:p w14:paraId="2795B2E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支付方式：银行转账。</w:t>
      </w:r>
    </w:p>
    <w:p w14:paraId="7F76F4F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结算方式：乙方在接受付款前开具等额合法有效的增值税专用发票给甲方。</w:t>
      </w:r>
    </w:p>
    <w:p w14:paraId="3479F11B">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五、服务期限、地点：</w:t>
      </w:r>
    </w:p>
    <w:p w14:paraId="3A0A1488">
      <w:pPr>
        <w:keepNext w:val="0"/>
        <w:keepLines w:val="0"/>
        <w:pageBreakBefore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1、服务期限：</w:t>
      </w:r>
      <w:r>
        <w:rPr>
          <w:rFonts w:hint="eastAsia" w:asciiTheme="minorEastAsia" w:hAnsiTheme="minorEastAsia" w:eastAsiaTheme="minorEastAsia" w:cstheme="minorEastAsia"/>
          <w:sz w:val="24"/>
          <w:szCs w:val="24"/>
          <w:highlight w:val="none"/>
          <w:lang w:val="en-US" w:eastAsia="zh-Hans"/>
        </w:rPr>
        <w:t>自合同签订之日起</w:t>
      </w: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lang w:val="en-US" w:eastAsia="zh-Hans"/>
        </w:rPr>
        <w:t>年。</w:t>
      </w:r>
    </w:p>
    <w:p w14:paraId="5A4EDC5F">
      <w:pPr>
        <w:keepNext w:val="0"/>
        <w:keepLines w:val="0"/>
        <w:pageBreakBefore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2、服务地点：甲方指定场所。</w:t>
      </w:r>
    </w:p>
    <w:p w14:paraId="4D459081">
      <w:pPr>
        <w:keepNext w:val="0"/>
        <w:keepLines w:val="0"/>
        <w:pageBreakBefore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3、乙方指派的项目负责人为：</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，性别：</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，身份证号：</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，联系电话：</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w:t>
      </w:r>
    </w:p>
    <w:p w14:paraId="55616F32">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六、</w:t>
      </w:r>
      <w:r>
        <w:rPr>
          <w:rFonts w:hint="eastAsia" w:asciiTheme="minorEastAsia" w:hAnsiTheme="minorEastAsia" w:eastAsiaTheme="minorEastAsia" w:cstheme="minorEastAsia"/>
          <w:b/>
          <w:bCs/>
          <w:sz w:val="24"/>
          <w:szCs w:val="24"/>
          <w:lang w:val="en-US" w:eastAsia="zh-CN"/>
        </w:rPr>
        <w:t>服务内容及要求</w:t>
      </w:r>
    </w:p>
    <w:p w14:paraId="6E23397E">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Theme="minorEastAsia" w:hAnsiTheme="minorEastAsia" w:eastAsiaTheme="minorEastAsia" w:cstheme="minorEastAsia"/>
          <w:b w:val="0"/>
          <w:bCs w:val="0"/>
          <w:sz w:val="24"/>
          <w:szCs w:val="24"/>
          <w:highlight w:val="none"/>
          <w:lang w:val="en-US" w:eastAsia="zh-Hans"/>
        </w:rPr>
      </w:pPr>
      <w:r>
        <w:rPr>
          <w:rFonts w:hint="eastAsia" w:asciiTheme="minorEastAsia" w:hAnsiTheme="minorEastAsia" w:eastAsiaTheme="minorEastAsia" w:cstheme="minorEastAsia"/>
          <w:b w:val="0"/>
          <w:bCs w:val="0"/>
          <w:sz w:val="24"/>
          <w:szCs w:val="24"/>
          <w:highlight w:val="none"/>
          <w:lang w:val="en-US" w:eastAsia="zh-Hans"/>
        </w:rPr>
        <w:t>1、食材采购要求：</w:t>
      </w:r>
      <w:r>
        <w:rPr>
          <w:rFonts w:hint="eastAsia" w:asciiTheme="minorEastAsia" w:hAnsiTheme="minorEastAsia" w:eastAsiaTheme="minorEastAsia" w:cstheme="minorEastAsia"/>
          <w:b w:val="0"/>
          <w:bCs w:val="0"/>
          <w:spacing w:val="4"/>
          <w:sz w:val="24"/>
          <w:szCs w:val="24"/>
          <w:highlight w:val="none"/>
        </w:rPr>
        <w:t>所有食材</w:t>
      </w:r>
      <w:r>
        <w:rPr>
          <w:rFonts w:hint="eastAsia" w:asciiTheme="minorEastAsia" w:hAnsiTheme="minorEastAsia" w:eastAsiaTheme="minorEastAsia" w:cstheme="minorEastAsia"/>
          <w:b w:val="0"/>
          <w:bCs w:val="0"/>
          <w:spacing w:val="4"/>
          <w:sz w:val="24"/>
          <w:szCs w:val="24"/>
          <w:highlight w:val="none"/>
          <w:lang w:val="en-US" w:eastAsia="zh-CN"/>
        </w:rPr>
        <w:t>质量、采购及配送</w:t>
      </w:r>
      <w:r>
        <w:rPr>
          <w:rFonts w:hint="eastAsia" w:asciiTheme="minorEastAsia" w:hAnsiTheme="minorEastAsia" w:eastAsiaTheme="minorEastAsia" w:cstheme="minorEastAsia"/>
          <w:b w:val="0"/>
          <w:bCs w:val="0"/>
          <w:spacing w:val="4"/>
          <w:sz w:val="24"/>
          <w:szCs w:val="24"/>
          <w:highlight w:val="none"/>
        </w:rPr>
        <w:t>均须符合《中华人民共和国食品安全法》、</w:t>
      </w:r>
      <w:r>
        <w:rPr>
          <w:rFonts w:hint="eastAsia" w:asciiTheme="minorEastAsia" w:hAnsiTheme="minorEastAsia" w:eastAsiaTheme="minorEastAsia" w:cstheme="minorEastAsia"/>
          <w:b w:val="0"/>
          <w:bCs w:val="0"/>
          <w:spacing w:val="4"/>
          <w:sz w:val="24"/>
          <w:szCs w:val="24"/>
          <w:highlight w:val="none"/>
          <w:lang w:eastAsia="zh-CN"/>
        </w:rPr>
        <w:t>《中华人民共和国产品质量法》、《食品安全国家标准 餐饮服务通用卫生规范》、《食品安全国家标准 食品生产通用卫生规范》、</w:t>
      </w:r>
      <w:r>
        <w:rPr>
          <w:rFonts w:hint="eastAsia" w:asciiTheme="minorEastAsia" w:hAnsiTheme="minorEastAsia" w:eastAsiaTheme="minorEastAsia" w:cstheme="minorEastAsia"/>
          <w:b w:val="0"/>
          <w:bCs w:val="0"/>
          <w:spacing w:val="4"/>
          <w:sz w:val="24"/>
          <w:szCs w:val="24"/>
          <w:highlight w:val="none"/>
        </w:rPr>
        <w:t>《食品安全国家标准</w:t>
      </w:r>
      <w:r>
        <w:rPr>
          <w:rFonts w:hint="eastAsia" w:asciiTheme="minorEastAsia" w:hAnsiTheme="minorEastAsia" w:eastAsiaTheme="minorEastAsia" w:cstheme="minorEastAsia"/>
          <w:b w:val="0"/>
          <w:bCs w:val="0"/>
          <w:spacing w:val="4"/>
          <w:sz w:val="24"/>
          <w:szCs w:val="24"/>
          <w:highlight w:val="none"/>
          <w:lang w:val="en-US" w:eastAsia="zh-CN"/>
        </w:rPr>
        <w:t xml:space="preserve"> </w:t>
      </w:r>
      <w:r>
        <w:rPr>
          <w:rFonts w:hint="eastAsia" w:asciiTheme="minorEastAsia" w:hAnsiTheme="minorEastAsia" w:eastAsiaTheme="minorEastAsia" w:cstheme="minorEastAsia"/>
          <w:b w:val="0"/>
          <w:bCs w:val="0"/>
          <w:spacing w:val="4"/>
          <w:sz w:val="24"/>
          <w:szCs w:val="24"/>
          <w:highlight w:val="none"/>
        </w:rPr>
        <w:t>食品添加剂使用标准》（GB 2760-2024）等相关规定</w:t>
      </w:r>
      <w:r>
        <w:rPr>
          <w:rFonts w:hint="eastAsia" w:asciiTheme="minorEastAsia" w:hAnsiTheme="minorEastAsia" w:eastAsiaTheme="minorEastAsia" w:cstheme="minorEastAsia"/>
          <w:b w:val="0"/>
          <w:bCs w:val="0"/>
          <w:spacing w:val="4"/>
          <w:sz w:val="24"/>
          <w:szCs w:val="24"/>
          <w:highlight w:val="none"/>
          <w:lang w:eastAsia="zh-CN"/>
        </w:rPr>
        <w:t>。</w:t>
      </w:r>
    </w:p>
    <w:p w14:paraId="7BB1D1BB">
      <w:pPr>
        <w:keepNext w:val="0"/>
        <w:keepLines w:val="0"/>
        <w:pageBreakBefore w:val="0"/>
        <w:kinsoku/>
        <w:wordWrap/>
        <w:overflowPunct/>
        <w:topLinePunct w:val="0"/>
        <w:bidi w:val="0"/>
        <w:snapToGrid w:val="0"/>
        <w:spacing w:line="360" w:lineRule="auto"/>
        <w:ind w:firstLine="480"/>
        <w:jc w:val="both"/>
        <w:rPr>
          <w:rFonts w:hint="eastAsia" w:asciiTheme="minorEastAsia" w:hAnsiTheme="minorEastAsia" w:eastAsiaTheme="minorEastAsia" w:cstheme="minorEastAsia"/>
          <w:b w:val="0"/>
          <w:bCs w:val="0"/>
          <w:sz w:val="24"/>
          <w:szCs w:val="24"/>
          <w:highlight w:val="none"/>
          <w:lang w:val="en-US" w:eastAsia="zh-Hans"/>
        </w:rPr>
      </w:pPr>
      <w:r>
        <w:rPr>
          <w:rFonts w:hint="eastAsia" w:asciiTheme="minorEastAsia" w:hAnsiTheme="minorEastAsia" w:eastAsiaTheme="minorEastAsia" w:cstheme="minorEastAsia"/>
          <w:b w:val="0"/>
          <w:bCs w:val="0"/>
          <w:sz w:val="24"/>
          <w:szCs w:val="24"/>
          <w:highlight w:val="none"/>
          <w:lang w:val="en-US" w:eastAsia="zh-Hans"/>
        </w:rPr>
        <w:t>2、根据相关政策</w:t>
      </w:r>
      <w:r>
        <w:rPr>
          <w:rFonts w:hint="eastAsia" w:asciiTheme="minorEastAsia" w:hAnsiTheme="minorEastAsia" w:eastAsia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lang w:val="en-US" w:eastAsia="zh-Hans"/>
        </w:rPr>
        <w:t>米、面、油需在脱贫地区农副产品网络销售平台（https</w:t>
      </w:r>
      <w:r>
        <w:rPr>
          <w:rFonts w:hint="eastAsia" w:asciiTheme="minorEastAsia" w:hAnsiTheme="minorEastAsia" w:eastAsia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lang w:val="en-US" w:eastAsia="zh-Hans"/>
        </w:rPr>
        <w:t>//www.fupin832.com/）购买，且不少于10%的份额，如遇国家新政策，以国家新政策为准执行。</w:t>
      </w:r>
    </w:p>
    <w:p w14:paraId="2CBB192C">
      <w:pPr>
        <w:keepNext w:val="0"/>
        <w:keepLines w:val="0"/>
        <w:pageBreakBefore w:val="0"/>
        <w:kinsoku/>
        <w:wordWrap/>
        <w:overflowPunct/>
        <w:topLinePunct w:val="0"/>
        <w:bidi w:val="0"/>
        <w:snapToGrid w:val="0"/>
        <w:spacing w:line="360" w:lineRule="auto"/>
        <w:ind w:firstLine="48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val="0"/>
          <w:bCs w:val="0"/>
          <w:sz w:val="24"/>
          <w:szCs w:val="24"/>
          <w:highlight w:val="none"/>
          <w:lang w:val="en-US" w:eastAsia="zh-Hans"/>
        </w:rPr>
        <w:t>3、</w:t>
      </w:r>
      <w:r>
        <w:rPr>
          <w:rFonts w:hint="eastAsia" w:asciiTheme="minorEastAsia" w:hAnsiTheme="minorEastAsia" w:eastAsiaTheme="minorEastAsia" w:cstheme="minorEastAsia"/>
          <w:b w:val="0"/>
          <w:bCs w:val="0"/>
          <w:sz w:val="24"/>
          <w:szCs w:val="24"/>
          <w:highlight w:val="none"/>
        </w:rPr>
        <w:t>供货品种及</w:t>
      </w:r>
      <w:r>
        <w:rPr>
          <w:rFonts w:hint="eastAsia" w:asciiTheme="minorEastAsia" w:hAnsiTheme="minorEastAsia" w:eastAsiaTheme="minorEastAsia" w:cstheme="minorEastAsia"/>
          <w:b w:val="0"/>
          <w:bCs w:val="0"/>
          <w:sz w:val="24"/>
          <w:szCs w:val="24"/>
          <w:highlight w:val="none"/>
          <w:lang w:val="en-US" w:eastAsia="zh-CN"/>
        </w:rPr>
        <w:t>质量</w:t>
      </w:r>
      <w:r>
        <w:rPr>
          <w:rFonts w:hint="eastAsia" w:asciiTheme="minorEastAsia" w:hAnsiTheme="minorEastAsia" w:eastAsiaTheme="minorEastAsia" w:cstheme="minorEastAsia"/>
          <w:b w:val="0"/>
          <w:bCs w:val="0"/>
          <w:sz w:val="24"/>
          <w:szCs w:val="24"/>
          <w:highlight w:val="none"/>
        </w:rPr>
        <w:t>要求：</w:t>
      </w:r>
    </w:p>
    <w:p w14:paraId="5C8C6117">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（1）大米原料为100%非转基因水稻，</w:t>
      </w:r>
      <w:r>
        <w:rPr>
          <w:rFonts w:hint="eastAsia" w:asciiTheme="minorEastAsia" w:hAnsiTheme="minorEastAsia" w:eastAsiaTheme="minorEastAsia" w:cstheme="minorEastAsia"/>
          <w:sz w:val="24"/>
          <w:szCs w:val="24"/>
        </w:rPr>
        <w:t>须符合GB/T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1354标准，拥有“SC“食品质量安全认证。无掺杂、无沙石，碎米少，无黄粒米</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大米包装袋上印有大米品名、等级、数量、出厂名、生产日期、厂家地址及其电话。</w:t>
      </w:r>
    </w:p>
    <w:p w14:paraId="4073017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面粉：</w:t>
      </w:r>
      <w:r>
        <w:rPr>
          <w:rFonts w:hint="eastAsia" w:asciiTheme="minorEastAsia" w:hAnsiTheme="minorEastAsia" w:eastAsiaTheme="minorEastAsia" w:cstheme="minorEastAsia"/>
          <w:sz w:val="24"/>
          <w:szCs w:val="24"/>
          <w:lang w:val="en-US" w:eastAsia="zh-CN"/>
        </w:rPr>
        <w:t>面粉原料为非转基因小麦粉，</w:t>
      </w:r>
      <w:r>
        <w:rPr>
          <w:rFonts w:hint="eastAsia" w:asciiTheme="minorEastAsia" w:hAnsiTheme="minorEastAsia" w:eastAsiaTheme="minorEastAsia" w:cstheme="minorEastAsia"/>
          <w:sz w:val="24"/>
          <w:szCs w:val="24"/>
        </w:rPr>
        <w:t>高筋面粉达GB/T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8607国家标准，质量等级一级，低筋面粉达GB/T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8608国家标准，质量等级一级，色泽正常，干爽无异味。包装袋上有注册商标及SC标注，有检脸合格证，生产日期和保质期。</w:t>
      </w:r>
    </w:p>
    <w:p w14:paraId="51662E6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食用油：</w:t>
      </w:r>
      <w:r>
        <w:rPr>
          <w:rFonts w:hint="eastAsia" w:asciiTheme="minorEastAsia" w:hAnsiTheme="minorEastAsia" w:eastAsiaTheme="minorEastAsia" w:cstheme="minorEastAsia"/>
          <w:sz w:val="24"/>
          <w:szCs w:val="24"/>
          <w:lang w:val="en-US" w:eastAsia="zh-CN"/>
        </w:rPr>
        <w:t>非转基因菜籽油，</w:t>
      </w:r>
      <w:r>
        <w:rPr>
          <w:rFonts w:hint="eastAsia" w:asciiTheme="minorEastAsia" w:hAnsiTheme="minorEastAsia" w:eastAsiaTheme="minorEastAsia" w:cstheme="minorEastAsia"/>
          <w:sz w:val="24"/>
          <w:szCs w:val="24"/>
        </w:rPr>
        <w:t>须符合GB/T 1536-2021</w:t>
      </w:r>
      <w:r>
        <w:rPr>
          <w:rFonts w:hint="eastAsia" w:asciiTheme="minorEastAsia" w:hAnsiTheme="minorEastAsia" w:eastAsiaTheme="minorEastAsia" w:cstheme="minorEastAsia"/>
          <w:sz w:val="24"/>
          <w:szCs w:val="24"/>
          <w:lang w:val="en-US" w:eastAsia="zh-CN"/>
        </w:rPr>
        <w:t>菜籽油</w:t>
      </w:r>
      <w:r>
        <w:rPr>
          <w:rFonts w:hint="eastAsia" w:asciiTheme="minorEastAsia" w:hAnsiTheme="minorEastAsia" w:eastAsiaTheme="minorEastAsia" w:cstheme="minorEastAsia"/>
          <w:sz w:val="24"/>
          <w:szCs w:val="24"/>
        </w:rPr>
        <w:t>标准，拥有SC食品质量安全认证。</w:t>
      </w:r>
      <w:r>
        <w:rPr>
          <w:rFonts w:hint="eastAsia" w:asciiTheme="minorEastAsia" w:hAnsiTheme="minorEastAsia" w:eastAsiaTheme="minorEastAsia" w:cstheme="minorEastAsia"/>
          <w:sz w:val="24"/>
          <w:szCs w:val="24"/>
          <w:lang w:val="en-US" w:eastAsia="zh-CN"/>
        </w:rPr>
        <w:t>配送时提供</w:t>
      </w:r>
      <w:r>
        <w:rPr>
          <w:rFonts w:hint="eastAsia" w:asciiTheme="minorEastAsia" w:hAnsiTheme="minorEastAsia" w:eastAsiaTheme="minorEastAsia" w:cstheme="minorEastAsia"/>
          <w:sz w:val="24"/>
          <w:szCs w:val="24"/>
        </w:rPr>
        <w:t>合格</w:t>
      </w:r>
      <w:r>
        <w:rPr>
          <w:rFonts w:hint="eastAsia" w:asciiTheme="minorEastAsia" w:hAnsiTheme="minorEastAsia" w:eastAsiaTheme="minorEastAsia" w:cstheme="minorEastAsia"/>
          <w:sz w:val="24"/>
          <w:szCs w:val="24"/>
          <w:lang w:val="en-US" w:eastAsia="zh-CN"/>
        </w:rPr>
        <w:t>检验</w:t>
      </w:r>
      <w:r>
        <w:rPr>
          <w:rFonts w:hint="eastAsia" w:asciiTheme="minorEastAsia" w:hAnsiTheme="minorEastAsia" w:eastAsiaTheme="minorEastAsia" w:cstheme="minorEastAsia"/>
          <w:sz w:val="24"/>
          <w:szCs w:val="24"/>
        </w:rPr>
        <w:t>报告，</w:t>
      </w:r>
      <w:r>
        <w:rPr>
          <w:rFonts w:hint="eastAsia" w:asciiTheme="minorEastAsia" w:hAnsiTheme="minorEastAsia" w:eastAsiaTheme="minorEastAsia" w:cstheme="minorEastAsia"/>
          <w:sz w:val="24"/>
          <w:szCs w:val="24"/>
          <w:lang w:val="en-US" w:eastAsia="zh-CN"/>
        </w:rPr>
        <w:t>不接受菜籽调和油，采取物理压榨工艺生产，不得采用化学浸出工艺生产，质量符合食用油国家一级油标准要求。外包装上必须标明生产日期，保质期，执行标准，储存条件，生产厂家，产地等，</w:t>
      </w:r>
      <w:r>
        <w:rPr>
          <w:rFonts w:hint="eastAsia" w:asciiTheme="minorEastAsia" w:hAnsiTheme="minorEastAsia" w:eastAsiaTheme="minorEastAsia" w:cstheme="minorEastAsia"/>
          <w:sz w:val="24"/>
          <w:szCs w:val="24"/>
        </w:rPr>
        <w:t>定型包装。</w:t>
      </w:r>
    </w:p>
    <w:p w14:paraId="4D1D99F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蔬菜类：当季各类新鲜蔬菜以及大棚种植蔬菜，蔬菜类必须保证无黄叶、枯死叶无虫、无杂质，须48小时内采摘供应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其中</w:t>
      </w:r>
      <w:r>
        <w:rPr>
          <w:rFonts w:hint="eastAsia" w:asciiTheme="minorEastAsia" w:hAnsiTheme="minorEastAsia" w:eastAsiaTheme="minorEastAsia" w:cstheme="minorEastAsia"/>
          <w:b w:val="0"/>
          <w:bCs w:val="0"/>
          <w:sz w:val="24"/>
          <w:szCs w:val="24"/>
          <w:highlight w:val="none"/>
        </w:rPr>
        <w:t>叶菜类：鲜嫩，无枯黄叶，无花斑叶，无烂叶；叶茎完整无折断，基部不老化，干爽无水；无裂口损伤，表面无泥土及其它杂物，无农药残留。根茎类：个体均匀，根形完整，无畸形，无泥土，无虫蛀和机械伤，无腐烂，无断折断裂，不萎蔫变软，不发芽，不变绿，不空心，不糠心，不黑心，弹击有实心感，无农药残留。果菜类：色泽正常，瓜肉坚实，表皮无损伤、无病斑或烂斑，无裂口，无折断，无压痕，无异味，不发软皱缩，无农药残留。芽苗类：鲜嫩、无老叶、无花斑黄叶，根部切口新鲜，茎叶完整，无腐烂现象，无农药残留。食用</w:t>
      </w:r>
      <w:r>
        <w:rPr>
          <w:rFonts w:hint="eastAsia" w:asciiTheme="minorEastAsia" w:hAnsiTheme="minorEastAsia" w:eastAsiaTheme="minorEastAsia" w:cstheme="minorEastAsia"/>
          <w:b w:val="0"/>
          <w:bCs w:val="0"/>
          <w:sz w:val="24"/>
          <w:szCs w:val="24"/>
        </w:rPr>
        <w:t>菌类：色泽与其品种相适应，气味正常；无腐烂及虫蛀株，无发霉，无失水枯萎，朵片完整，手轻捏不能有水渗出为宜。</w:t>
      </w:r>
      <w:r>
        <w:rPr>
          <w:rFonts w:hint="eastAsia" w:asciiTheme="minorEastAsia" w:hAnsiTheme="minorEastAsia" w:eastAsiaTheme="minorEastAsia" w:cstheme="minorEastAsia"/>
          <w:b w:val="0"/>
          <w:bCs w:val="0"/>
          <w:spacing w:val="4"/>
          <w:sz w:val="24"/>
          <w:szCs w:val="24"/>
          <w:highlight w:val="none"/>
        </w:rPr>
        <w:t>所有食材</w:t>
      </w:r>
      <w:r>
        <w:rPr>
          <w:rFonts w:hint="eastAsia" w:asciiTheme="minorEastAsia" w:hAnsiTheme="minorEastAsia" w:eastAsiaTheme="minorEastAsia" w:cstheme="minorEastAsia"/>
          <w:b w:val="0"/>
          <w:bCs w:val="0"/>
          <w:spacing w:val="4"/>
          <w:sz w:val="24"/>
          <w:szCs w:val="24"/>
          <w:highlight w:val="none"/>
          <w:lang w:val="en-US" w:eastAsia="zh-CN"/>
        </w:rPr>
        <w:t>须按国家相关要求进行检验检测，</w:t>
      </w:r>
      <w:r>
        <w:rPr>
          <w:rFonts w:hint="eastAsia" w:asciiTheme="minorEastAsia" w:hAnsiTheme="minorEastAsia" w:eastAsiaTheme="minorEastAsia" w:cstheme="minorEastAsia"/>
          <w:b w:val="0"/>
          <w:bCs w:val="0"/>
          <w:spacing w:val="4"/>
          <w:sz w:val="24"/>
          <w:szCs w:val="24"/>
          <w:highlight w:val="none"/>
          <w:u w:val="none"/>
        </w:rPr>
        <w:t>检测报告须由CMA/CNAS认证机构出具</w:t>
      </w:r>
      <w:r>
        <w:rPr>
          <w:rFonts w:hint="eastAsia" w:asciiTheme="minorEastAsia" w:hAnsiTheme="minorEastAsia" w:eastAsiaTheme="minorEastAsia" w:cstheme="minorEastAsia"/>
          <w:b w:val="0"/>
          <w:bCs w:val="0"/>
          <w:spacing w:val="4"/>
          <w:sz w:val="24"/>
          <w:szCs w:val="24"/>
          <w:highlight w:val="none"/>
          <w:u w:val="none"/>
          <w:lang w:eastAsia="zh-CN"/>
        </w:rPr>
        <w:t>。</w:t>
      </w:r>
      <w:r>
        <w:rPr>
          <w:rFonts w:hint="eastAsia" w:asciiTheme="minorEastAsia" w:hAnsiTheme="minorEastAsia" w:eastAsiaTheme="minorEastAsia" w:cstheme="minorEastAsia"/>
          <w:b w:val="0"/>
          <w:bCs w:val="0"/>
          <w:spacing w:val="4"/>
          <w:sz w:val="24"/>
          <w:szCs w:val="24"/>
          <w:highlight w:val="none"/>
          <w:u w:val="none"/>
        </w:rPr>
        <w:t>依据：《食品安全抽样检验管理办法》</w:t>
      </w:r>
      <w:r>
        <w:rPr>
          <w:rFonts w:hint="eastAsia" w:asciiTheme="minorEastAsia" w:hAnsiTheme="minorEastAsia" w:eastAsiaTheme="minorEastAsia" w:cstheme="minorEastAsia"/>
          <w:b w:val="0"/>
          <w:bCs w:val="0"/>
          <w:spacing w:val="4"/>
          <w:sz w:val="24"/>
          <w:szCs w:val="24"/>
          <w:highlight w:val="none"/>
          <w:u w:val="none"/>
          <w:lang w:eastAsia="zh-CN"/>
        </w:rPr>
        <w:t>、</w:t>
      </w:r>
      <w:r>
        <w:rPr>
          <w:rFonts w:hint="eastAsia" w:asciiTheme="minorEastAsia" w:hAnsiTheme="minorEastAsia" w:eastAsiaTheme="minorEastAsia" w:cstheme="minorEastAsia"/>
          <w:b w:val="0"/>
          <w:bCs w:val="0"/>
          <w:spacing w:val="4"/>
          <w:sz w:val="24"/>
          <w:szCs w:val="24"/>
          <w:highlight w:val="none"/>
          <w:u w:val="none"/>
        </w:rPr>
        <w:t>《农产品质量安全承诺达标合格证管理办法》</w:t>
      </w:r>
      <w:r>
        <w:rPr>
          <w:rFonts w:hint="eastAsia" w:asciiTheme="minorEastAsia" w:hAnsiTheme="minorEastAsia" w:eastAsiaTheme="minorEastAsia" w:cstheme="minorEastAsia"/>
          <w:b w:val="0"/>
          <w:bCs w:val="0"/>
          <w:spacing w:val="4"/>
          <w:sz w:val="24"/>
          <w:szCs w:val="24"/>
          <w:highlight w:val="none"/>
          <w:u w:val="none"/>
          <w:lang w:val="en-US" w:eastAsia="zh-CN"/>
        </w:rPr>
        <w:t>要求，相关检测结果须符合</w:t>
      </w:r>
      <w:r>
        <w:rPr>
          <w:rFonts w:hint="eastAsia" w:asciiTheme="minorEastAsia" w:hAnsiTheme="minorEastAsia" w:eastAsiaTheme="minorEastAsia" w:cstheme="minorEastAsia"/>
          <w:b w:val="0"/>
          <w:bCs w:val="0"/>
          <w:sz w:val="24"/>
          <w:szCs w:val="24"/>
          <w:highlight w:val="none"/>
          <w:u w:val="none"/>
          <w:lang w:val="en-US" w:eastAsia="zh-CN"/>
        </w:rPr>
        <w:t>《食品中农药最大残留限量》（GB 2763-2021）、《食品中农药最大残留限量》（GB 2763-2026）、《食品中污染物限量（含第1号修改单）》（</w:t>
      </w:r>
      <w:r>
        <w:rPr>
          <w:rFonts w:hint="eastAsia" w:asciiTheme="minorEastAsia" w:hAnsiTheme="minorEastAsia" w:eastAsiaTheme="minorEastAsia" w:cstheme="minorEastAsia"/>
          <w:b w:val="0"/>
          <w:bCs w:val="0"/>
          <w:sz w:val="24"/>
          <w:szCs w:val="24"/>
        </w:rPr>
        <w:t>GB2762-2022</w:t>
      </w:r>
      <w:r>
        <w:rPr>
          <w:rFonts w:hint="eastAsia" w:asciiTheme="minorEastAsia" w:hAnsiTheme="minorEastAsia" w:eastAsiaTheme="minorEastAsia" w:cstheme="minorEastAsia"/>
          <w:b w:val="0"/>
          <w:bCs w:val="0"/>
          <w:sz w:val="24"/>
          <w:szCs w:val="24"/>
          <w:highlight w:val="none"/>
          <w:u w:val="none"/>
          <w:lang w:val="en-US" w:eastAsia="zh-CN"/>
        </w:rPr>
        <w:t>）</w:t>
      </w:r>
      <w:r>
        <w:rPr>
          <w:rFonts w:hint="eastAsia" w:asciiTheme="minorEastAsia" w:hAnsiTheme="minorEastAsia" w:eastAsiaTheme="minorEastAsia" w:cstheme="minorEastAsia"/>
          <w:b w:val="0"/>
          <w:bCs w:val="0"/>
          <w:sz w:val="24"/>
          <w:szCs w:val="24"/>
        </w:rPr>
        <w:t>及其他相关国家强制性标准</w:t>
      </w:r>
      <w:r>
        <w:rPr>
          <w:rFonts w:hint="eastAsia" w:asciiTheme="minorEastAsia" w:hAnsiTheme="minorEastAsia" w:eastAsiaTheme="minorEastAsia" w:cstheme="minorEastAsia"/>
          <w:b w:val="0"/>
          <w:bCs w:val="0"/>
          <w:sz w:val="24"/>
          <w:szCs w:val="24"/>
          <w:lang w:eastAsia="zh-CN"/>
        </w:rPr>
        <w:t>。</w:t>
      </w:r>
    </w:p>
    <w:p w14:paraId="77C76680">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肉类：</w:t>
      </w:r>
    </w:p>
    <w:p w14:paraId="3E162AF9">
      <w:pPr>
        <w:pStyle w:val="1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须按照</w:t>
      </w:r>
      <w:r>
        <w:rPr>
          <w:rFonts w:hint="eastAsia" w:asciiTheme="minorEastAsia" w:hAnsiTheme="minorEastAsia" w:cstheme="minorEastAsia"/>
          <w:sz w:val="24"/>
          <w:szCs w:val="24"/>
          <w:lang w:val="en-US" w:eastAsia="zh-CN"/>
        </w:rPr>
        <w:t>甲方</w:t>
      </w:r>
      <w:r>
        <w:rPr>
          <w:rFonts w:hint="eastAsia" w:asciiTheme="minorEastAsia" w:hAnsiTheme="minorEastAsia" w:eastAsiaTheme="minorEastAsia" w:cstheme="minorEastAsia"/>
          <w:sz w:val="24"/>
          <w:szCs w:val="24"/>
          <w:lang w:val="en-US" w:eastAsia="zh-CN"/>
        </w:rPr>
        <w:t>要求提供包含但不限于：</w:t>
      </w:r>
      <w:r>
        <w:rPr>
          <w:rFonts w:hint="eastAsia" w:asciiTheme="minorEastAsia" w:hAnsiTheme="minorEastAsia" w:eastAsiaTheme="minorEastAsia" w:cstheme="minorEastAsia"/>
          <w:sz w:val="24"/>
          <w:szCs w:val="24"/>
        </w:rPr>
        <w:t>精肉、排骨、猪蹄、牛肉、猪肉馅、猪耳朵、猪肝、里脊、猪肚、肥肠、后丘、五花、羊肉、红肠、鸡脖、鸡腿、白条鸡、鸡脯肉、鸡翅、鸭子等</w:t>
      </w:r>
      <w:r>
        <w:rPr>
          <w:rFonts w:hint="eastAsia" w:asciiTheme="minorEastAsia" w:hAnsiTheme="minorEastAsia" w:eastAsiaTheme="minorEastAsia" w:cstheme="minorEastAsia"/>
          <w:sz w:val="24"/>
          <w:szCs w:val="24"/>
          <w:lang w:val="en-US" w:eastAsia="zh-CN"/>
        </w:rPr>
        <w:t>新鲜肉类</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提供的产品必须符合：</w:t>
      </w:r>
      <w:r>
        <w:rPr>
          <w:rFonts w:hint="eastAsia" w:asciiTheme="minorEastAsia" w:hAnsiTheme="minorEastAsia" w:eastAsiaTheme="minorEastAsia" w:cstheme="minorEastAsia"/>
          <w:sz w:val="24"/>
          <w:szCs w:val="24"/>
        </w:rPr>
        <w:t>①符合《食品安全国家标准 鲜(冻)畜、禽产品》GB2707-2016。②肉身应有卫生检疫部门加盖的卫生检疫合格印章。须</w:t>
      </w:r>
      <w:r>
        <w:rPr>
          <w:rFonts w:hint="eastAsia" w:asciiTheme="minorEastAsia" w:hAnsiTheme="minorEastAsia" w:eastAsiaTheme="minorEastAsia" w:cstheme="minorEastAsia"/>
          <w:sz w:val="24"/>
          <w:szCs w:val="24"/>
          <w:lang w:val="en-US" w:eastAsia="zh-CN"/>
        </w:rPr>
        <w:t>出</w:t>
      </w:r>
      <w:r>
        <w:rPr>
          <w:rFonts w:hint="eastAsia" w:asciiTheme="minorEastAsia" w:hAnsiTheme="minorEastAsia" w:eastAsiaTheme="minorEastAsia" w:cstheme="minorEastAsia"/>
          <w:sz w:val="24"/>
          <w:szCs w:val="24"/>
        </w:rPr>
        <w:t>具加盖国家或地方政府监督所检疫章的动物检疫证明</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③供应当天屠宰，不得预冷带冰。感官正常，表皮无病状，肌肉无积血，肉质色泽光润有弹性，应当卫生干净，不得沾染毛发污血或其它污染物，气味正常。脂肪有其固有色泽；票据标明生产地址、产品名称、生产日期、保质期，动物检疫合格证及肉品品质合格证明齐全。产品包装符合要求。</w:t>
      </w:r>
    </w:p>
    <w:p w14:paraId="70135C1A">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冻品：</w:t>
      </w:r>
      <w:r>
        <w:rPr>
          <w:rFonts w:hint="eastAsia" w:asciiTheme="minorEastAsia" w:hAnsiTheme="minorEastAsia" w:eastAsiaTheme="minorEastAsia" w:cstheme="minorEastAsia"/>
          <w:sz w:val="24"/>
          <w:szCs w:val="24"/>
          <w:highlight w:val="none"/>
          <w:lang w:eastAsia="zh-CN"/>
        </w:rPr>
        <w:t>鲜、冻肉制品皮肤有光泽，肌肉切面有光泽，有该禽</w:t>
      </w:r>
      <w:r>
        <w:rPr>
          <w:rFonts w:hint="eastAsia" w:asciiTheme="minorEastAsia" w:hAnsiTheme="minorEastAsia" w:eastAsiaTheme="minorEastAsia" w:cstheme="minorEastAsia"/>
          <w:sz w:val="24"/>
          <w:szCs w:val="24"/>
          <w:highlight w:val="none"/>
          <w:lang w:val="en-US" w:eastAsia="zh-CN"/>
        </w:rPr>
        <w:t>类、肉类</w:t>
      </w:r>
      <w:r>
        <w:rPr>
          <w:rFonts w:hint="eastAsia" w:asciiTheme="minorEastAsia" w:hAnsiTheme="minorEastAsia" w:eastAsiaTheme="minorEastAsia" w:cstheme="minorEastAsia"/>
          <w:sz w:val="24"/>
          <w:szCs w:val="24"/>
          <w:highlight w:val="none"/>
          <w:lang w:eastAsia="zh-CN"/>
        </w:rPr>
        <w:t>固有色泽，外表微干或微湿润、不粘手有弹性，肌肉指压后的凹陷立即恢复具有该</w:t>
      </w:r>
      <w:r>
        <w:rPr>
          <w:rFonts w:hint="eastAsia" w:asciiTheme="minorEastAsia" w:hAnsiTheme="minorEastAsia" w:eastAsiaTheme="minorEastAsia" w:cstheme="minorEastAsia"/>
          <w:sz w:val="24"/>
          <w:szCs w:val="24"/>
          <w:highlight w:val="none"/>
          <w:lang w:val="en-US" w:eastAsia="zh-CN"/>
        </w:rPr>
        <w:t>产品</w:t>
      </w:r>
      <w:r>
        <w:rPr>
          <w:rFonts w:hint="eastAsia" w:asciiTheme="minorEastAsia" w:hAnsiTheme="minorEastAsia" w:eastAsiaTheme="minorEastAsia" w:cstheme="minorEastAsia"/>
          <w:sz w:val="24"/>
          <w:szCs w:val="24"/>
          <w:highlight w:val="none"/>
          <w:lang w:eastAsia="zh-CN"/>
        </w:rPr>
        <w:t>固有的气味。解冻损失率不大于5%，预煮制出成率不小于60%。</w:t>
      </w:r>
      <w:r>
        <w:rPr>
          <w:rFonts w:hint="eastAsia" w:asciiTheme="minorEastAsia" w:hAnsiTheme="minorEastAsia" w:eastAsiaTheme="minorEastAsia" w:cstheme="minorEastAsia"/>
          <w:sz w:val="24"/>
          <w:szCs w:val="24"/>
        </w:rPr>
        <w:t>冻品外包装需完整，无破损，无不封口现象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highlight w:val="none"/>
          <w:lang w:val="en-US" w:eastAsia="zh-CN"/>
        </w:rPr>
        <w:t>所供产品</w:t>
      </w:r>
      <w:r>
        <w:rPr>
          <w:rFonts w:hint="eastAsia" w:asciiTheme="minorEastAsia" w:hAnsiTheme="minorEastAsia" w:eastAsiaTheme="minorEastAsia" w:cstheme="minorEastAsia"/>
          <w:sz w:val="24"/>
          <w:szCs w:val="24"/>
          <w:highlight w:val="none"/>
          <w:lang w:eastAsia="zh-CN"/>
        </w:rPr>
        <w:t>箱（袋）内无杂质，箱头有生产企业名称，厂址、电话、生产日期，保质期。每批次</w:t>
      </w:r>
      <w:r>
        <w:rPr>
          <w:rFonts w:hint="eastAsia" w:asciiTheme="minorEastAsia" w:hAnsiTheme="minorEastAsia" w:eastAsiaTheme="minorEastAsia" w:cstheme="minorEastAsia"/>
          <w:sz w:val="24"/>
          <w:szCs w:val="24"/>
          <w:highlight w:val="none"/>
          <w:lang w:val="en-US" w:eastAsia="zh-CN"/>
        </w:rPr>
        <w:t>产品须</w:t>
      </w:r>
      <w:r>
        <w:rPr>
          <w:rFonts w:hint="eastAsia" w:asciiTheme="minorEastAsia" w:hAnsiTheme="minorEastAsia" w:eastAsiaTheme="minorEastAsia" w:cstheme="minorEastAsia"/>
          <w:sz w:val="24"/>
          <w:szCs w:val="24"/>
          <w:highlight w:val="none"/>
          <w:lang w:eastAsia="zh-CN"/>
        </w:rPr>
        <w:t>提供《出厂检验合格证明》</w:t>
      </w:r>
      <w:r>
        <w:rPr>
          <w:rFonts w:hint="eastAsia" w:asciiTheme="minorEastAsia" w:hAnsiTheme="minorEastAsia" w:eastAsiaTheme="minorEastAsia" w:cstheme="minorEastAsia"/>
          <w:sz w:val="24"/>
          <w:szCs w:val="24"/>
          <w:highlight w:val="none"/>
          <w:lang w:val="en-US" w:eastAsia="zh-CN"/>
        </w:rPr>
        <w:t>及对应的生产厂家</w:t>
      </w:r>
      <w:r>
        <w:rPr>
          <w:rFonts w:hint="eastAsia" w:asciiTheme="minorEastAsia" w:hAnsiTheme="minorEastAsia" w:eastAsiaTheme="minorEastAsia" w:cstheme="minorEastAsia"/>
          <w:sz w:val="24"/>
          <w:szCs w:val="24"/>
          <w:highlight w:val="none"/>
          <w:lang w:eastAsia="zh-CN"/>
        </w:rPr>
        <w:t>生产许可证。供货时提供正规的进货渠道证明文件，且配送食品剩余保质期不少于质保期三分之二。</w:t>
      </w:r>
    </w:p>
    <w:p w14:paraId="572204F8">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水产品：草鱼、黑鱼、桂鱼、鲈鱼</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虾类必须鲜活，且符合食品卫生相关标准及法规要求。体表光滑无病灶，有鲜鱼鳞片完整，无鳞鱼无浑浊粘液，肉质干燥，紧密，呈白色或淡黄色眼球外突饱满透明，鳃丝清晰鲜红或暗红，保持活体状态固有本色，无异味，鱼类肌肉紧密有弹性，内脏清晰可辨无腐烂。符合《食品安全国家标准 鲜、冻动物性水产品》GB 2733-2015</w:t>
      </w:r>
      <w:r>
        <w:rPr>
          <w:rFonts w:hint="eastAsia" w:asciiTheme="minorEastAsia" w:hAnsiTheme="minorEastAsia" w:eastAsiaTheme="minorEastAsia" w:cstheme="minorEastAsia"/>
          <w:sz w:val="24"/>
          <w:szCs w:val="24"/>
          <w:lang w:val="en-US" w:eastAsia="zh-CN"/>
        </w:rPr>
        <w:t>标准</w:t>
      </w:r>
      <w:r>
        <w:rPr>
          <w:rFonts w:hint="eastAsia" w:asciiTheme="minorEastAsia" w:hAnsiTheme="minorEastAsia" w:eastAsiaTheme="minorEastAsia" w:cstheme="minorEastAsia"/>
          <w:sz w:val="24"/>
          <w:szCs w:val="24"/>
          <w:lang w:eastAsia="zh-CN"/>
        </w:rPr>
        <w:t>。</w:t>
      </w:r>
    </w:p>
    <w:p w14:paraId="3DD1C21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豆制品：豆腐、豆腐干、绿豆芽、黄豆芽、红豆等须保证食材干净、不含非食品用化学物质、按统一标准加工、码放整齐、无须二次处理可以直接进行熟加工，具有食品生产许可证。</w:t>
      </w:r>
      <w:r>
        <w:rPr>
          <w:rFonts w:hint="eastAsia" w:asciiTheme="minorEastAsia" w:hAnsiTheme="minorEastAsia" w:eastAsiaTheme="minorEastAsia" w:cstheme="minorEastAsia"/>
          <w:b w:val="0"/>
          <w:bCs w:val="0"/>
          <w:spacing w:val="4"/>
          <w:sz w:val="24"/>
          <w:szCs w:val="24"/>
          <w:highlight w:val="none"/>
          <w:u w:val="none"/>
          <w:lang w:val="en-US" w:eastAsia="zh-CN"/>
        </w:rPr>
        <w:t>相关检测结果须符合</w:t>
      </w:r>
      <w:r>
        <w:rPr>
          <w:rFonts w:hint="eastAsia" w:asciiTheme="minorEastAsia" w:hAnsiTheme="minorEastAsia" w:eastAsiaTheme="minorEastAsia" w:cstheme="minorEastAsia"/>
          <w:b w:val="0"/>
          <w:bCs w:val="0"/>
          <w:spacing w:val="4"/>
          <w:sz w:val="24"/>
          <w:szCs w:val="24"/>
          <w:highlight w:val="none"/>
          <w:lang w:eastAsia="zh-CN"/>
        </w:rPr>
        <w:t>食品安全国家标准《豆制品》（GB 2712-2014）、《豆腐干》（GB/T 23494-2009）、《豆芽卫生标准》（GB 22556-2008）、《食品安全国家标准 食品微生物学检验 豆制品采样和检样处理》（GB 4789.23-2024）。</w:t>
      </w:r>
    </w:p>
    <w:p w14:paraId="003AE0B7">
      <w:pPr>
        <w:pStyle w:val="1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水果：</w:t>
      </w:r>
      <w:r>
        <w:rPr>
          <w:rFonts w:hint="eastAsia" w:asciiTheme="minorEastAsia" w:hAnsiTheme="minorEastAsia" w:eastAsiaTheme="minorEastAsia" w:cstheme="minorEastAsia"/>
          <w:sz w:val="24"/>
          <w:szCs w:val="24"/>
          <w:lang w:val="en-US" w:eastAsia="zh-CN"/>
        </w:rPr>
        <w:t>根据</w:t>
      </w:r>
      <w:r>
        <w:rPr>
          <w:rFonts w:hint="eastAsia" w:asciiTheme="minorEastAsia" w:hAnsiTheme="minorEastAsia" w:cstheme="minorEastAsia"/>
          <w:sz w:val="24"/>
          <w:szCs w:val="24"/>
          <w:lang w:val="en-US" w:eastAsia="zh-CN"/>
        </w:rPr>
        <w:t>甲方</w:t>
      </w:r>
      <w:r>
        <w:rPr>
          <w:rFonts w:hint="eastAsia" w:asciiTheme="minorEastAsia" w:hAnsiTheme="minorEastAsia" w:eastAsiaTheme="minorEastAsia" w:cstheme="minorEastAsia"/>
          <w:sz w:val="24"/>
          <w:szCs w:val="24"/>
          <w:lang w:val="en-US" w:eastAsia="zh-CN"/>
        </w:rPr>
        <w:t>要求提供</w:t>
      </w:r>
      <w:r>
        <w:rPr>
          <w:rFonts w:hint="eastAsia" w:asciiTheme="minorEastAsia" w:hAnsiTheme="minorEastAsia" w:eastAsiaTheme="minorEastAsia" w:cstheme="minorEastAsia"/>
          <w:sz w:val="24"/>
          <w:szCs w:val="24"/>
        </w:rPr>
        <w:t>当季各类水果，</w:t>
      </w:r>
      <w:r>
        <w:rPr>
          <w:rFonts w:hint="eastAsia" w:asciiTheme="minorEastAsia" w:hAnsiTheme="minorEastAsia" w:eastAsiaTheme="minorEastAsia" w:cstheme="minorEastAsia"/>
          <w:sz w:val="24"/>
          <w:szCs w:val="24"/>
          <w:lang w:val="en-US" w:eastAsia="zh-CN"/>
        </w:rPr>
        <w:t>须保证</w:t>
      </w:r>
      <w:r>
        <w:rPr>
          <w:rFonts w:hint="eastAsia" w:asciiTheme="minorEastAsia" w:hAnsiTheme="minorEastAsia" w:eastAsiaTheme="minorEastAsia" w:cstheme="minorEastAsia"/>
          <w:b w:val="0"/>
          <w:bCs w:val="0"/>
          <w:sz w:val="24"/>
          <w:szCs w:val="24"/>
        </w:rPr>
        <w:t>①新鲜度要求：水量充足，无空壳、皱皮、干涩现象；色泽新鲜、不变色。②机械伤：无外力造成的伤害。如挤伤、压伤、碰伤、切口、裂伤。③病虫害：无不良病虫害，表面、中间无虫卵遗留，无虫眼。④成熟度：适中，无过熟、未熟现象。新鲜，正常色泽，果质优良，气味正常；无腐烂及虫蛀，无发霉，无失水枯萎。</w:t>
      </w:r>
      <w:r>
        <w:rPr>
          <w:rFonts w:hint="eastAsia" w:asciiTheme="minorEastAsia" w:hAnsiTheme="minorEastAsia" w:eastAsiaTheme="minorEastAsia" w:cstheme="minorEastAsia"/>
          <w:b w:val="0"/>
          <w:bCs w:val="0"/>
          <w:spacing w:val="4"/>
          <w:sz w:val="24"/>
          <w:szCs w:val="24"/>
          <w:highlight w:val="none"/>
          <w:u w:val="none"/>
          <w:lang w:val="en-US" w:eastAsia="zh-CN"/>
        </w:rPr>
        <w:t>相关检测结果须符合</w:t>
      </w:r>
      <w:r>
        <w:rPr>
          <w:rFonts w:hint="eastAsia" w:asciiTheme="minorEastAsia" w:hAnsiTheme="minorEastAsia" w:eastAsiaTheme="minorEastAsia" w:cstheme="minorEastAsia"/>
          <w:b w:val="0"/>
          <w:bCs w:val="0"/>
          <w:sz w:val="24"/>
          <w:szCs w:val="24"/>
          <w:highlight w:val="none"/>
          <w:u w:val="none"/>
          <w:lang w:val="en-US" w:eastAsia="zh-CN"/>
        </w:rPr>
        <w:t>《食品中农药最大残留限量》（GB 2763-2021）、《食品中农药最大残留限量》（GB 2763-2026）、《食品中污染物限量（含第1号修改单）》（</w:t>
      </w:r>
      <w:r>
        <w:rPr>
          <w:rFonts w:hint="eastAsia" w:asciiTheme="minorEastAsia" w:hAnsiTheme="minorEastAsia" w:eastAsiaTheme="minorEastAsia" w:cstheme="minorEastAsia"/>
          <w:b w:val="0"/>
          <w:bCs w:val="0"/>
          <w:sz w:val="24"/>
          <w:szCs w:val="24"/>
        </w:rPr>
        <w:t>GB2762-2022</w:t>
      </w:r>
      <w:r>
        <w:rPr>
          <w:rFonts w:hint="eastAsia" w:asciiTheme="minorEastAsia" w:hAnsiTheme="minorEastAsia" w:eastAsiaTheme="minorEastAsia" w:cstheme="minorEastAsia"/>
          <w:b w:val="0"/>
          <w:bCs w:val="0"/>
          <w:sz w:val="24"/>
          <w:szCs w:val="24"/>
          <w:highlight w:val="none"/>
          <w:u w:val="none"/>
          <w:lang w:val="en-US" w:eastAsia="zh-CN"/>
        </w:rPr>
        <w:t>）</w:t>
      </w:r>
      <w:r>
        <w:rPr>
          <w:rFonts w:hint="eastAsia" w:asciiTheme="minorEastAsia" w:hAnsiTheme="minorEastAsia" w:eastAsiaTheme="minorEastAsia" w:cstheme="minorEastAsia"/>
          <w:b w:val="0"/>
          <w:bCs w:val="0"/>
          <w:sz w:val="24"/>
          <w:szCs w:val="24"/>
        </w:rPr>
        <w:t>及其他相关国家强制性标准</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农药残留及重金属不得超标，不得含有国家全面禁止使用的农药成分。</w:t>
      </w:r>
    </w:p>
    <w:p w14:paraId="7154F0F9">
      <w:pPr>
        <w:pStyle w:val="1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蛋类：鲜蛋应大小均匀，无破裂，蛋体清洁，无斑点，无粪便，无血迹，无污染，蛋型正常，色泽鲜明，蛋白浓厚，蛋黄居中，轮廓明显，胚胎未发育。加工类蛋制品符合国家标准和行业标准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应有卫生检疫合格证明。</w:t>
      </w:r>
    </w:p>
    <w:p w14:paraId="2F4CC726">
      <w:pPr>
        <w:pStyle w:val="1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（11）干货、</w:t>
      </w:r>
      <w:r>
        <w:rPr>
          <w:rFonts w:hint="eastAsia" w:asciiTheme="minorEastAsia" w:hAnsiTheme="minorEastAsia" w:eastAsiaTheme="minorEastAsia" w:cstheme="minorEastAsia"/>
          <w:sz w:val="24"/>
          <w:szCs w:val="24"/>
        </w:rPr>
        <w:t>调料：</w:t>
      </w:r>
      <w:r>
        <w:rPr>
          <w:rFonts w:hint="eastAsia" w:asciiTheme="minorEastAsia" w:hAnsiTheme="minorEastAsia" w:eastAsiaTheme="minorEastAsia" w:cstheme="minorEastAsia"/>
          <w:b w:val="0"/>
          <w:bCs w:val="0"/>
          <w:sz w:val="24"/>
          <w:szCs w:val="24"/>
        </w:rPr>
        <w:t>外观无霉变、无斑点、无腐烂变质，有物品应有的正常气味、无异味，</w:t>
      </w:r>
      <w:r>
        <w:rPr>
          <w:rFonts w:hint="eastAsia" w:asciiTheme="minorEastAsia" w:hAnsiTheme="minorEastAsia" w:eastAsiaTheme="minorEastAsia" w:cstheme="minorEastAsia"/>
          <w:sz w:val="24"/>
          <w:szCs w:val="24"/>
          <w:highlight w:val="none"/>
          <w:lang w:val="en-US" w:eastAsia="zh-CN"/>
        </w:rPr>
        <w:t>所提供的干货调料类产品</w:t>
      </w:r>
      <w:r>
        <w:rPr>
          <w:rFonts w:hint="eastAsia" w:asciiTheme="minorEastAsia" w:hAnsiTheme="minorEastAsia" w:eastAsiaTheme="minorEastAsia" w:cstheme="minorEastAsia"/>
          <w:sz w:val="24"/>
          <w:szCs w:val="24"/>
          <w:highlight w:val="none"/>
          <w:lang w:eastAsia="zh-CN"/>
        </w:rPr>
        <w:t>外包装无污物、无泄漏，无胀袋或鼓盖现象，无变质发霉现象。色泽正常，具有该品种固有的香味，滋味无异味，</w:t>
      </w:r>
      <w:r>
        <w:rPr>
          <w:rFonts w:hint="eastAsia" w:asciiTheme="minorEastAsia" w:hAnsiTheme="minorEastAsia" w:eastAsiaTheme="minorEastAsia" w:cstheme="minorEastAsia"/>
          <w:sz w:val="24"/>
          <w:szCs w:val="24"/>
          <w:highlight w:val="none"/>
        </w:rPr>
        <w:t>油酱均匀的酱体或无结块的粉状固体，封口平整，无破包，夹包，漏包，无污染</w:t>
      </w:r>
      <w:r>
        <w:rPr>
          <w:rFonts w:hint="eastAsia" w:asciiTheme="minorEastAsia" w:hAnsiTheme="minorEastAsia" w:eastAsiaTheme="minorEastAsia" w:cstheme="minorEastAsia"/>
          <w:sz w:val="24"/>
          <w:szCs w:val="24"/>
          <w:highlight w:val="none"/>
          <w:lang w:eastAsia="zh-CN"/>
        </w:rPr>
        <w:t>。其它干货、调料、酱腌菜都必须符合产品应有的卫生安全标准。</w:t>
      </w:r>
      <w:r>
        <w:rPr>
          <w:rFonts w:hint="eastAsia" w:asciiTheme="minorEastAsia" w:hAnsiTheme="minorEastAsia" w:eastAsiaTheme="minorEastAsia" w:cstheme="minorEastAsia"/>
          <w:sz w:val="24"/>
          <w:szCs w:val="24"/>
        </w:rPr>
        <w:t>所有的调料干菜必须符合国家卫生标准和质量要求。糖、味精、酱油、醋、豆制品、生粉等必须具有“QS”生产许可证或“SC”食品生产许可证。无过期食品和邻近保质期食品，到期时间不低于保质期的三分之二。不含有转基因原材料、外包装无污物、无泄漏，无胀袋或胖听或鼓盖现象，无变质发霉现象。色泽正常，具有该品种固有的香味，滋味无异味，油酱均匀的酱体或无结块的粉状固体，封口平整，无破包，夹包，漏包，无污染。</w:t>
      </w:r>
    </w:p>
    <w:p w14:paraId="49E1F82F">
      <w:pPr>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副食及其他：须保证食材干净、不含非食品用化学物质、按统一标准加工、码放整齐。</w:t>
      </w:r>
    </w:p>
    <w:p w14:paraId="63A948DD">
      <w:pPr>
        <w:keepNext w:val="0"/>
        <w:keepLines w:val="0"/>
        <w:pageBreakBefore w:val="0"/>
        <w:kinsoku/>
        <w:wordWrap/>
        <w:overflowPunct/>
        <w:topLinePunct w:val="0"/>
        <w:bidi w:val="0"/>
        <w:snapToGrid w:val="0"/>
        <w:spacing w:line="360" w:lineRule="auto"/>
        <w:ind w:firstLine="48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七、</w:t>
      </w:r>
      <w:r>
        <w:rPr>
          <w:rFonts w:hint="eastAsia" w:asciiTheme="minorEastAsia" w:hAnsiTheme="minorEastAsia" w:eastAsiaTheme="minorEastAsia" w:cstheme="minorEastAsia"/>
          <w:b/>
          <w:bCs/>
          <w:sz w:val="24"/>
          <w:szCs w:val="24"/>
          <w:lang w:val="en-US" w:eastAsia="zh-CN"/>
        </w:rPr>
        <w:t>配送要求：</w:t>
      </w:r>
    </w:p>
    <w:p w14:paraId="7B568F54">
      <w:pPr>
        <w:keepNext w:val="0"/>
        <w:keepLines w:val="0"/>
        <w:pageBreakBefore w:val="0"/>
        <w:kinsoku/>
        <w:wordWrap/>
        <w:overflowPunct/>
        <w:topLinePunct w:val="0"/>
        <w:bidi w:val="0"/>
        <w:adjustRightInd w:val="0"/>
        <w:snapToGrid w:val="0"/>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eastAsiaTheme="minorEastAsia" w:cstheme="minorEastAsia"/>
          <w:spacing w:val="4"/>
          <w:sz w:val="24"/>
          <w:szCs w:val="24"/>
          <w:lang w:val="en-US" w:eastAsia="zh-CN"/>
        </w:rPr>
        <w:t>1</w:t>
      </w: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提供具体食材采购清单，列明采购品目，数量及品牌（若有），</w:t>
      </w:r>
      <w:r>
        <w:rPr>
          <w:rFonts w:hint="eastAsia" w:asciiTheme="minorEastAsia" w:hAnsiTheme="minorEastAsia" w:cstheme="minorEastAsia"/>
          <w:spacing w:val="4"/>
          <w:sz w:val="24"/>
          <w:szCs w:val="24"/>
          <w:lang w:eastAsia="zh-CN"/>
        </w:rPr>
        <w:t>乙方</w:t>
      </w:r>
      <w:r>
        <w:rPr>
          <w:rFonts w:hint="eastAsia" w:asciiTheme="minorEastAsia" w:hAnsiTheme="minorEastAsia" w:eastAsiaTheme="minorEastAsia" w:cstheme="minorEastAsia"/>
          <w:spacing w:val="4"/>
          <w:sz w:val="24"/>
          <w:szCs w:val="24"/>
        </w:rPr>
        <w:t>必须按照</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要求的种类、规格进行供货。</w:t>
      </w:r>
      <w:r>
        <w:rPr>
          <w:rFonts w:hint="eastAsia" w:asciiTheme="minorEastAsia" w:hAnsiTheme="minorEastAsia" w:eastAsiaTheme="minorEastAsia" w:cstheme="minorEastAsia"/>
          <w:spacing w:val="4"/>
          <w:sz w:val="24"/>
          <w:szCs w:val="24"/>
          <w:lang w:val="en-US" w:eastAsia="zh-CN"/>
        </w:rPr>
        <w:t>按照</w:t>
      </w:r>
      <w:r>
        <w:rPr>
          <w:rFonts w:hint="eastAsia" w:asciiTheme="minorEastAsia" w:hAnsiTheme="minorEastAsia" w:cstheme="minorEastAsia"/>
          <w:spacing w:val="4"/>
          <w:sz w:val="24"/>
          <w:szCs w:val="24"/>
          <w:lang w:val="en-US" w:eastAsia="zh-CN"/>
        </w:rPr>
        <w:t>甲方</w:t>
      </w:r>
      <w:r>
        <w:rPr>
          <w:rFonts w:hint="eastAsia" w:asciiTheme="minorEastAsia" w:hAnsiTheme="minorEastAsia" w:eastAsiaTheme="minorEastAsia" w:cstheme="minorEastAsia"/>
          <w:spacing w:val="4"/>
          <w:sz w:val="24"/>
          <w:szCs w:val="24"/>
          <w:lang w:val="en-US" w:eastAsia="zh-CN"/>
        </w:rPr>
        <w:t>要求的时间</w:t>
      </w:r>
      <w:r>
        <w:rPr>
          <w:rFonts w:hint="eastAsia" w:asciiTheme="minorEastAsia" w:hAnsiTheme="minorEastAsia" w:eastAsiaTheme="minorEastAsia" w:cstheme="minorEastAsia"/>
          <w:spacing w:val="4"/>
          <w:sz w:val="24"/>
          <w:szCs w:val="24"/>
        </w:rPr>
        <w:t>前将各类需求食材配送至</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指定地点。</w:t>
      </w:r>
    </w:p>
    <w:p w14:paraId="42EA1814">
      <w:pPr>
        <w:keepNext w:val="0"/>
        <w:keepLines w:val="0"/>
        <w:pageBreakBefore w:val="0"/>
        <w:kinsoku/>
        <w:wordWrap/>
        <w:overflowPunct/>
        <w:topLinePunct w:val="0"/>
        <w:bidi w:val="0"/>
        <w:adjustRightInd w:val="0"/>
        <w:snapToGrid w:val="0"/>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eastAsiaTheme="minorEastAsia" w:cstheme="minorEastAsia"/>
          <w:spacing w:val="4"/>
          <w:sz w:val="24"/>
          <w:szCs w:val="24"/>
          <w:lang w:val="en-US" w:eastAsia="zh-CN"/>
        </w:rPr>
        <w:t>2</w:t>
      </w: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eastAsiaTheme="minorEastAsia" w:cstheme="minorEastAsia"/>
          <w:spacing w:val="4"/>
          <w:sz w:val="24"/>
          <w:szCs w:val="24"/>
        </w:rPr>
        <w:t>所有食材采购均以</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通知为准，</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有权根据实际需求量随时调整采购计划及供货时间段</w:t>
      </w: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eastAsiaTheme="minorEastAsia" w:cstheme="minorEastAsia"/>
          <w:spacing w:val="4"/>
          <w:sz w:val="24"/>
          <w:szCs w:val="24"/>
        </w:rPr>
        <w:t>具体配送种类以</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前一天的采购单为准，食材到达现场后</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根据采购单及配送</w:t>
      </w:r>
      <w:bookmarkStart w:id="0" w:name="_GoBack"/>
      <w:bookmarkEnd w:id="0"/>
      <w:r>
        <w:rPr>
          <w:rFonts w:hint="eastAsia" w:asciiTheme="minorEastAsia" w:hAnsiTheme="minorEastAsia" w:eastAsiaTheme="minorEastAsia" w:cstheme="minorEastAsia"/>
          <w:spacing w:val="4"/>
          <w:sz w:val="24"/>
          <w:szCs w:val="24"/>
        </w:rPr>
        <w:t>单进行食材验收，并在验收单上签字留存。</w:t>
      </w:r>
    </w:p>
    <w:p w14:paraId="7284417F">
      <w:pPr>
        <w:keepNext w:val="0"/>
        <w:keepLines w:val="0"/>
        <w:pageBreakBefore w:val="0"/>
        <w:kinsoku/>
        <w:wordWrap/>
        <w:overflowPunct/>
        <w:topLinePunct w:val="0"/>
        <w:bidi w:val="0"/>
        <w:adjustRightInd w:val="0"/>
        <w:snapToGrid w:val="0"/>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eastAsiaTheme="minorEastAsia" w:cstheme="minorEastAsia"/>
          <w:spacing w:val="4"/>
          <w:sz w:val="24"/>
          <w:szCs w:val="24"/>
          <w:lang w:val="en-US" w:eastAsia="zh-CN"/>
        </w:rPr>
        <w:t>3</w:t>
      </w: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cstheme="minorEastAsia"/>
          <w:spacing w:val="4"/>
          <w:sz w:val="24"/>
          <w:szCs w:val="24"/>
          <w:lang w:eastAsia="zh-CN"/>
        </w:rPr>
        <w:t>乙方</w:t>
      </w:r>
      <w:r>
        <w:rPr>
          <w:rFonts w:hint="eastAsia" w:asciiTheme="minorEastAsia" w:hAnsiTheme="minorEastAsia" w:eastAsiaTheme="minorEastAsia" w:cstheme="minorEastAsia"/>
          <w:spacing w:val="4"/>
          <w:sz w:val="24"/>
          <w:szCs w:val="24"/>
        </w:rPr>
        <w:t>接到配送定单后，由专人负责分拣、配送，相关人员具有健康证。所有食材</w:t>
      </w:r>
      <w:r>
        <w:rPr>
          <w:rFonts w:hint="eastAsia" w:asciiTheme="minorEastAsia" w:hAnsiTheme="minorEastAsia" w:cstheme="minorEastAsia"/>
          <w:spacing w:val="4"/>
          <w:sz w:val="24"/>
          <w:szCs w:val="24"/>
          <w:lang w:eastAsia="zh-CN"/>
        </w:rPr>
        <w:t>乙方</w:t>
      </w:r>
      <w:r>
        <w:rPr>
          <w:rFonts w:hint="eastAsia" w:asciiTheme="minorEastAsia" w:hAnsiTheme="minorEastAsia" w:eastAsiaTheme="minorEastAsia" w:cstheme="minorEastAsia"/>
          <w:spacing w:val="4"/>
          <w:sz w:val="24"/>
          <w:szCs w:val="24"/>
        </w:rPr>
        <w:t>必须按照</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要求的种类、规格进行供货，满足</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rPr>
        <w:t>使用需求</w:t>
      </w:r>
      <w:r>
        <w:rPr>
          <w:rFonts w:hint="eastAsia" w:asciiTheme="minorEastAsia" w:hAnsiTheme="minorEastAsia" w:eastAsiaTheme="minorEastAsia" w:cstheme="minorEastAsia"/>
          <w:spacing w:val="4"/>
          <w:sz w:val="24"/>
          <w:szCs w:val="24"/>
          <w:lang w:eastAsia="zh-CN"/>
        </w:rPr>
        <w:t>，如有某些菜品出现市场断档，当日及时告知</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lang w:eastAsia="zh-CN"/>
        </w:rPr>
        <w:t>，以便</w:t>
      </w:r>
      <w:r>
        <w:rPr>
          <w:rFonts w:hint="eastAsia" w:asciiTheme="minorEastAsia" w:hAnsiTheme="minorEastAsia" w:cstheme="minorEastAsia"/>
          <w:spacing w:val="4"/>
          <w:sz w:val="24"/>
          <w:szCs w:val="24"/>
          <w:lang w:eastAsia="zh-CN"/>
        </w:rPr>
        <w:t>甲方</w:t>
      </w:r>
      <w:r>
        <w:rPr>
          <w:rFonts w:hint="eastAsia" w:asciiTheme="minorEastAsia" w:hAnsiTheme="minorEastAsia" w:eastAsiaTheme="minorEastAsia" w:cstheme="minorEastAsia"/>
          <w:spacing w:val="4"/>
          <w:sz w:val="24"/>
          <w:szCs w:val="24"/>
          <w:lang w:eastAsia="zh-CN"/>
        </w:rPr>
        <w:t>做出必要调整，</w:t>
      </w:r>
      <w:r>
        <w:rPr>
          <w:rFonts w:hint="eastAsia" w:asciiTheme="minorEastAsia" w:hAnsiTheme="minorEastAsia" w:eastAsiaTheme="minorEastAsia" w:cstheme="minorEastAsia"/>
          <w:spacing w:val="4"/>
          <w:sz w:val="24"/>
          <w:szCs w:val="24"/>
        </w:rPr>
        <w:t>装卸费、送货费用及运输安全由</w:t>
      </w:r>
      <w:r>
        <w:rPr>
          <w:rFonts w:hint="eastAsia" w:asciiTheme="minorEastAsia" w:hAnsiTheme="minorEastAsia" w:cstheme="minorEastAsia"/>
          <w:spacing w:val="4"/>
          <w:sz w:val="24"/>
          <w:szCs w:val="24"/>
          <w:lang w:eastAsia="zh-CN"/>
        </w:rPr>
        <w:t>乙方</w:t>
      </w:r>
      <w:r>
        <w:rPr>
          <w:rFonts w:hint="eastAsia" w:asciiTheme="minorEastAsia" w:hAnsiTheme="minorEastAsia" w:eastAsiaTheme="minorEastAsia" w:cstheme="minorEastAsia"/>
          <w:spacing w:val="4"/>
          <w:sz w:val="24"/>
          <w:szCs w:val="24"/>
        </w:rPr>
        <w:t>承担。</w:t>
      </w:r>
    </w:p>
    <w:p w14:paraId="199F5F13">
      <w:pPr>
        <w:keepNext w:val="0"/>
        <w:keepLines w:val="0"/>
        <w:pageBreakBefore w:val="0"/>
        <w:kinsoku/>
        <w:wordWrap/>
        <w:overflowPunct/>
        <w:topLinePunct w:val="0"/>
        <w:bidi w:val="0"/>
        <w:adjustRightInd w:val="0"/>
        <w:snapToGrid w:val="0"/>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eastAsiaTheme="minorEastAsia" w:cstheme="minorEastAsia"/>
          <w:spacing w:val="4"/>
          <w:sz w:val="24"/>
          <w:szCs w:val="24"/>
          <w:lang w:val="en-US" w:eastAsia="zh-CN"/>
        </w:rPr>
        <w:t>4</w:t>
      </w: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cstheme="minorEastAsia"/>
          <w:spacing w:val="4"/>
          <w:sz w:val="24"/>
          <w:szCs w:val="24"/>
          <w:lang w:eastAsia="zh-CN"/>
        </w:rPr>
        <w:t>乙方</w:t>
      </w:r>
      <w:r>
        <w:rPr>
          <w:rFonts w:hint="eastAsia" w:asciiTheme="minorEastAsia" w:hAnsiTheme="minorEastAsia" w:eastAsiaTheme="minorEastAsia" w:cstheme="minorEastAsia"/>
          <w:spacing w:val="4"/>
          <w:sz w:val="24"/>
          <w:szCs w:val="24"/>
        </w:rPr>
        <w:t>自备送货车（</w:t>
      </w:r>
      <w:r>
        <w:rPr>
          <w:rFonts w:hint="eastAsia" w:asciiTheme="minorEastAsia" w:hAnsiTheme="minorEastAsia" w:eastAsiaTheme="minorEastAsia" w:cstheme="minorEastAsia"/>
          <w:spacing w:val="4"/>
          <w:sz w:val="24"/>
          <w:szCs w:val="24"/>
          <w:lang w:val="en-US" w:eastAsia="zh-CN"/>
        </w:rPr>
        <w:t>根据所送食材类别提供</w:t>
      </w:r>
      <w:r>
        <w:rPr>
          <w:rFonts w:hint="eastAsia" w:asciiTheme="minorEastAsia" w:hAnsiTheme="minorEastAsia" w:eastAsiaTheme="minorEastAsia" w:cstheme="minorEastAsia"/>
          <w:spacing w:val="4"/>
          <w:sz w:val="24"/>
          <w:szCs w:val="24"/>
        </w:rPr>
        <w:t>冷藏或恒温</w:t>
      </w:r>
      <w:r>
        <w:rPr>
          <w:rFonts w:hint="eastAsia" w:asciiTheme="minorEastAsia" w:hAnsiTheme="minorEastAsia" w:eastAsiaTheme="minorEastAsia" w:cstheme="minorEastAsia"/>
          <w:spacing w:val="4"/>
          <w:sz w:val="24"/>
          <w:szCs w:val="24"/>
          <w:lang w:val="en-US" w:eastAsia="zh-CN"/>
        </w:rPr>
        <w:t>车辆</w:t>
      </w: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lang w:val="en-US" w:eastAsia="zh-CN"/>
        </w:rPr>
        <w:t>如果配送冷藏食材，须具备</w:t>
      </w:r>
      <w:r>
        <w:rPr>
          <w:rFonts w:hint="eastAsia" w:asciiTheme="minorEastAsia" w:hAnsiTheme="minorEastAsia" w:eastAsiaTheme="minorEastAsia" w:cstheme="minorEastAsia"/>
          <w:spacing w:val="4"/>
          <w:sz w:val="24"/>
          <w:szCs w:val="24"/>
        </w:rPr>
        <w:t>冷藏车行驶证</w:t>
      </w:r>
      <w:r>
        <w:rPr>
          <w:rFonts w:hint="eastAsia" w:asciiTheme="minorEastAsia" w:hAnsiTheme="minorEastAsia" w:eastAsiaTheme="minorEastAsia" w:cstheme="minorEastAsia"/>
          <w:spacing w:val="4"/>
          <w:sz w:val="24"/>
          <w:szCs w:val="24"/>
          <w:lang w:eastAsia="zh-CN"/>
        </w:rPr>
        <w:t>，</w:t>
      </w:r>
      <w:r>
        <w:rPr>
          <w:rFonts w:hint="eastAsia" w:asciiTheme="minorEastAsia" w:hAnsiTheme="minorEastAsia" w:eastAsiaTheme="minorEastAsia" w:cstheme="minorEastAsia"/>
          <w:spacing w:val="4"/>
          <w:sz w:val="24"/>
          <w:szCs w:val="24"/>
          <w:lang w:val="en-US" w:eastAsia="zh-CN"/>
        </w:rPr>
        <w:t>冷藏车</w:t>
      </w:r>
      <w:r>
        <w:rPr>
          <w:rFonts w:hint="eastAsia" w:asciiTheme="minorEastAsia" w:hAnsiTheme="minorEastAsia" w:eastAsiaTheme="minorEastAsia" w:cstheme="minorEastAsia"/>
          <w:spacing w:val="4"/>
          <w:sz w:val="24"/>
          <w:szCs w:val="24"/>
        </w:rPr>
        <w:t>温控设备</w:t>
      </w:r>
      <w:r>
        <w:rPr>
          <w:rFonts w:hint="eastAsia" w:asciiTheme="minorEastAsia" w:hAnsiTheme="minorEastAsia" w:eastAsiaTheme="minorEastAsia" w:cstheme="minorEastAsia"/>
          <w:spacing w:val="4"/>
          <w:sz w:val="24"/>
          <w:szCs w:val="24"/>
          <w:lang w:val="en-US" w:eastAsia="zh-CN"/>
        </w:rPr>
        <w:t>须符合国家</w:t>
      </w:r>
      <w:r>
        <w:rPr>
          <w:rFonts w:hint="eastAsia" w:asciiTheme="minorEastAsia" w:hAnsiTheme="minorEastAsia" w:eastAsiaTheme="minorEastAsia" w:cstheme="minorEastAsia"/>
          <w:spacing w:val="4"/>
          <w:sz w:val="24"/>
          <w:szCs w:val="24"/>
        </w:rPr>
        <w:t>检定</w:t>
      </w:r>
      <w:r>
        <w:rPr>
          <w:rFonts w:hint="eastAsia" w:asciiTheme="minorEastAsia" w:hAnsiTheme="minorEastAsia" w:eastAsiaTheme="minorEastAsia" w:cstheme="minorEastAsia"/>
          <w:spacing w:val="4"/>
          <w:sz w:val="24"/>
          <w:szCs w:val="24"/>
          <w:lang w:val="en-US" w:eastAsia="zh-CN"/>
        </w:rPr>
        <w:t>标准，</w:t>
      </w:r>
      <w:r>
        <w:rPr>
          <w:rFonts w:hint="eastAsia" w:asciiTheme="minorEastAsia" w:hAnsiTheme="minorEastAsia" w:cstheme="minorEastAsia"/>
          <w:spacing w:val="4"/>
          <w:sz w:val="24"/>
          <w:szCs w:val="24"/>
          <w:lang w:val="en-US" w:eastAsia="zh-CN"/>
        </w:rPr>
        <w:t>甲方</w:t>
      </w:r>
      <w:r>
        <w:rPr>
          <w:rFonts w:hint="eastAsia" w:asciiTheme="minorEastAsia" w:hAnsiTheme="minorEastAsia" w:eastAsiaTheme="minorEastAsia" w:cstheme="minorEastAsia"/>
          <w:spacing w:val="4"/>
          <w:sz w:val="24"/>
          <w:szCs w:val="24"/>
          <w:lang w:val="en-US" w:eastAsia="zh-CN"/>
        </w:rPr>
        <w:t>有权利随时抽查。</w:t>
      </w:r>
      <w:r>
        <w:rPr>
          <w:rFonts w:hint="eastAsia" w:asciiTheme="minorEastAsia" w:hAnsiTheme="minorEastAsia" w:eastAsiaTheme="minorEastAsia" w:cstheme="minorEastAsia"/>
          <w:spacing w:val="4"/>
          <w:sz w:val="24"/>
          <w:szCs w:val="24"/>
        </w:rPr>
        <w:t>运输车厢的内仓应使用抗腐蚀、防潮，易清洁消毒的材料。车厢内无不良气味、异味；运输途中严防日晒、雨淋，注意通风散热。食</w:t>
      </w:r>
      <w:r>
        <w:rPr>
          <w:rFonts w:hint="eastAsia" w:asciiTheme="minorEastAsia" w:hAnsiTheme="minorEastAsia" w:eastAsiaTheme="minorEastAsia" w:cstheme="minorEastAsia"/>
          <w:spacing w:val="4"/>
          <w:sz w:val="24"/>
          <w:szCs w:val="24"/>
          <w:lang w:val="en-US" w:eastAsia="zh-CN"/>
        </w:rPr>
        <w:t>材</w:t>
      </w:r>
      <w:r>
        <w:rPr>
          <w:rFonts w:hint="eastAsia" w:asciiTheme="minorEastAsia" w:hAnsiTheme="minorEastAsia" w:eastAsiaTheme="minorEastAsia" w:cstheme="minorEastAsia"/>
          <w:spacing w:val="4"/>
          <w:sz w:val="24"/>
          <w:szCs w:val="24"/>
        </w:rPr>
        <w:t>堆放科学合理，避免造成</w:t>
      </w:r>
      <w:r>
        <w:rPr>
          <w:rFonts w:hint="eastAsia" w:asciiTheme="minorEastAsia" w:hAnsiTheme="minorEastAsia" w:eastAsiaTheme="minorEastAsia" w:cstheme="minorEastAsia"/>
          <w:spacing w:val="4"/>
          <w:sz w:val="24"/>
          <w:szCs w:val="24"/>
          <w:lang w:val="en-US" w:eastAsia="zh-CN"/>
        </w:rPr>
        <w:t>食材</w:t>
      </w:r>
      <w:r>
        <w:rPr>
          <w:rFonts w:hint="eastAsia" w:asciiTheme="minorEastAsia" w:hAnsiTheme="minorEastAsia" w:eastAsiaTheme="minorEastAsia" w:cstheme="minorEastAsia"/>
          <w:spacing w:val="4"/>
          <w:sz w:val="24"/>
          <w:szCs w:val="24"/>
        </w:rPr>
        <w:t>的交叉污染；如对温度有要求的食品应确定食品的温度。</w:t>
      </w:r>
    </w:p>
    <w:p w14:paraId="223C2BA7">
      <w:pPr>
        <w:keepNext w:val="0"/>
        <w:keepLines w:val="0"/>
        <w:pageBreakBefore w:val="0"/>
        <w:kinsoku/>
        <w:wordWrap/>
        <w:overflowPunct/>
        <w:topLinePunct w:val="0"/>
        <w:bidi w:val="0"/>
        <w:adjustRightInd w:val="0"/>
        <w:snapToGrid w:val="0"/>
        <w:spacing w:line="360" w:lineRule="auto"/>
        <w:ind w:firstLine="496" w:firstLineChars="20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spacing w:val="4"/>
          <w:sz w:val="24"/>
          <w:szCs w:val="24"/>
          <w:lang w:val="en-US" w:eastAsia="zh-CN"/>
        </w:rPr>
        <w:t>（5）配送</w:t>
      </w:r>
      <w:r>
        <w:rPr>
          <w:rFonts w:hint="eastAsia" w:asciiTheme="minorEastAsia" w:hAnsiTheme="minorEastAsia" w:eastAsiaTheme="minorEastAsia" w:cstheme="minorEastAsia"/>
          <w:spacing w:val="4"/>
          <w:sz w:val="24"/>
          <w:szCs w:val="24"/>
        </w:rPr>
        <w:t>司机</w:t>
      </w:r>
      <w:r>
        <w:rPr>
          <w:rFonts w:hint="eastAsia" w:asciiTheme="minorEastAsia" w:hAnsiTheme="minorEastAsia" w:eastAsiaTheme="minorEastAsia" w:cstheme="minorEastAsia"/>
          <w:spacing w:val="4"/>
          <w:sz w:val="24"/>
          <w:szCs w:val="24"/>
          <w:lang w:val="en-US" w:eastAsia="zh-CN"/>
        </w:rPr>
        <w:t>须</w:t>
      </w:r>
      <w:r>
        <w:rPr>
          <w:rFonts w:hint="eastAsia" w:asciiTheme="minorEastAsia" w:hAnsiTheme="minorEastAsia" w:eastAsiaTheme="minorEastAsia" w:cstheme="minorEastAsia"/>
          <w:spacing w:val="4"/>
          <w:sz w:val="24"/>
          <w:szCs w:val="24"/>
        </w:rPr>
        <w:t>具备相应的驾驶证，</w:t>
      </w:r>
      <w:r>
        <w:rPr>
          <w:rFonts w:hint="eastAsia" w:asciiTheme="minorEastAsia" w:hAnsiTheme="minorEastAsia" w:eastAsiaTheme="minorEastAsia" w:cstheme="minorEastAsia"/>
          <w:sz w:val="24"/>
          <w:szCs w:val="24"/>
          <w:lang w:val="zh-CN"/>
        </w:rPr>
        <w:t>身体健康、政治清白、无</w:t>
      </w:r>
      <w:r>
        <w:rPr>
          <w:rFonts w:hint="eastAsia" w:asciiTheme="minorEastAsia" w:hAnsiTheme="minorEastAsia" w:eastAsiaTheme="minorEastAsia" w:cstheme="minorEastAsia"/>
          <w:sz w:val="24"/>
          <w:szCs w:val="24"/>
        </w:rPr>
        <w:t>犯罪</w:t>
      </w:r>
      <w:r>
        <w:rPr>
          <w:rFonts w:hint="eastAsia" w:asciiTheme="minorEastAsia" w:hAnsiTheme="minorEastAsia" w:eastAsiaTheme="minorEastAsia" w:cstheme="minorEastAsia"/>
          <w:sz w:val="24"/>
          <w:szCs w:val="24"/>
          <w:lang w:val="zh-CN"/>
        </w:rPr>
        <w:t>记录；</w:t>
      </w:r>
      <w:r>
        <w:rPr>
          <w:rFonts w:hint="eastAsia" w:asciiTheme="minorEastAsia" w:hAnsiTheme="minorEastAsia" w:eastAsiaTheme="minorEastAsia" w:cstheme="minorEastAsia"/>
          <w:sz w:val="24"/>
          <w:szCs w:val="24"/>
        </w:rPr>
        <w:t>无吸毒史；无高血压病</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冠心病等疾病病史，</w:t>
      </w:r>
      <w:r>
        <w:rPr>
          <w:rFonts w:hint="eastAsia" w:asciiTheme="minorEastAsia" w:hAnsiTheme="minorEastAsia" w:eastAsiaTheme="minorEastAsia" w:cstheme="minorEastAsia"/>
          <w:sz w:val="24"/>
          <w:szCs w:val="24"/>
          <w:lang w:val="zh-CN"/>
        </w:rPr>
        <w:t>具有良好的服务意识，较强的沟通能力，具有吃苦耐劳精神，工作认真细致，有良好的组织纪律性。</w:t>
      </w:r>
    </w:p>
    <w:p w14:paraId="31099ADF">
      <w:pPr>
        <w:keepNext w:val="0"/>
        <w:keepLines w:val="0"/>
        <w:pageBreakBefore w:val="0"/>
        <w:kinsoku/>
        <w:wordWrap/>
        <w:overflowPunct/>
        <w:topLinePunct w:val="0"/>
        <w:bidi w:val="0"/>
        <w:snapToGrid w:val="0"/>
        <w:spacing w:line="360" w:lineRule="auto"/>
        <w:ind w:firstLine="48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八、供应责任：</w:t>
      </w:r>
    </w:p>
    <w:p w14:paraId="5200ACB4">
      <w:pPr>
        <w:pStyle w:val="7"/>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sz w:val="24"/>
          <w:szCs w:val="24"/>
          <w:lang w:eastAsia="zh-CN"/>
        </w:rPr>
        <w:t>乙方</w:t>
      </w:r>
      <w:r>
        <w:rPr>
          <w:rFonts w:hint="eastAsia" w:asciiTheme="minorEastAsia" w:hAnsiTheme="minorEastAsia" w:eastAsiaTheme="minorEastAsia" w:cstheme="minorEastAsia"/>
          <w:sz w:val="24"/>
          <w:szCs w:val="24"/>
        </w:rPr>
        <w:t>须保证所供食材均为符合国家卫生、质量检验标准的正规产品，保证配送品种完全满足</w:t>
      </w:r>
      <w:r>
        <w:rPr>
          <w:rFonts w:hint="eastAsia" w:asciiTheme="minorEastAsia" w:hAnsiTheme="minorEastAsia" w:cstheme="minorEastAsia"/>
          <w:sz w:val="24"/>
          <w:szCs w:val="24"/>
          <w:lang w:eastAsia="zh-CN"/>
        </w:rPr>
        <w:t>甲方</w:t>
      </w:r>
      <w:r>
        <w:rPr>
          <w:rFonts w:hint="eastAsia" w:asciiTheme="minorEastAsia" w:hAnsiTheme="minorEastAsia" w:eastAsiaTheme="minorEastAsia" w:cstheme="minorEastAsia"/>
          <w:sz w:val="24"/>
          <w:szCs w:val="24"/>
        </w:rPr>
        <w:t>要求。所有原材料进行不定期抽检，确认无任何食品安全问题。</w:t>
      </w:r>
    </w:p>
    <w:p w14:paraId="28C3151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食材没有按时按要求配送到位，影响</w:t>
      </w:r>
      <w:r>
        <w:rPr>
          <w:rFonts w:hint="eastAsia" w:asciiTheme="minorEastAsia" w:hAnsiTheme="minorEastAsia" w:cstheme="minorEastAsia"/>
          <w:sz w:val="24"/>
          <w:szCs w:val="24"/>
          <w:lang w:eastAsia="zh-CN"/>
        </w:rPr>
        <w:t>甲方</w:t>
      </w:r>
      <w:r>
        <w:rPr>
          <w:rFonts w:hint="eastAsia" w:asciiTheme="minorEastAsia" w:hAnsiTheme="minorEastAsia" w:eastAsiaTheme="minorEastAsia" w:cstheme="minorEastAsia"/>
          <w:sz w:val="24"/>
          <w:szCs w:val="24"/>
        </w:rPr>
        <w:t>餐厅正常开餐的，以当日需求计划总量两倍价款赔付当日损失，同时</w:t>
      </w:r>
      <w:r>
        <w:rPr>
          <w:rFonts w:hint="eastAsia" w:asciiTheme="minorEastAsia" w:hAnsiTheme="minorEastAsia" w:cstheme="minorEastAsia"/>
          <w:sz w:val="24"/>
          <w:szCs w:val="24"/>
          <w:lang w:eastAsia="zh-CN"/>
        </w:rPr>
        <w:t>甲方</w:t>
      </w:r>
      <w:r>
        <w:rPr>
          <w:rFonts w:hint="eastAsia" w:asciiTheme="minorEastAsia" w:hAnsiTheme="minorEastAsia" w:eastAsiaTheme="minorEastAsia" w:cstheme="minorEastAsia"/>
          <w:sz w:val="24"/>
          <w:szCs w:val="24"/>
        </w:rPr>
        <w:t>将对</w:t>
      </w:r>
      <w:r>
        <w:rPr>
          <w:rFonts w:hint="eastAsia" w:asciiTheme="minorEastAsia" w:hAnsiTheme="minorEastAsia" w:cstheme="minorEastAsia"/>
          <w:sz w:val="24"/>
          <w:szCs w:val="24"/>
          <w:lang w:eastAsia="zh-CN"/>
        </w:rPr>
        <w:t>乙方</w:t>
      </w:r>
      <w:r>
        <w:rPr>
          <w:rFonts w:hint="eastAsia" w:asciiTheme="minorEastAsia" w:hAnsiTheme="minorEastAsia" w:eastAsiaTheme="minorEastAsia" w:cstheme="minorEastAsia"/>
          <w:sz w:val="24"/>
          <w:szCs w:val="24"/>
        </w:rPr>
        <w:t>进行处罚。</w:t>
      </w:r>
    </w:p>
    <w:p w14:paraId="59D5A1DF">
      <w:pPr>
        <w:pStyle w:val="1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食材在验收时有不符合要求的，一律退回，</w:t>
      </w:r>
      <w:r>
        <w:rPr>
          <w:rFonts w:hint="eastAsia" w:asciiTheme="minorEastAsia" w:hAnsiTheme="minorEastAsia" w:cstheme="minorEastAsia"/>
          <w:sz w:val="24"/>
          <w:szCs w:val="24"/>
          <w:lang w:eastAsia="zh-CN"/>
        </w:rPr>
        <w:t>乙方</w:t>
      </w:r>
      <w:r>
        <w:rPr>
          <w:rFonts w:hint="eastAsia" w:asciiTheme="minorEastAsia" w:hAnsiTheme="minorEastAsia" w:eastAsiaTheme="minorEastAsia" w:cstheme="minorEastAsia"/>
          <w:sz w:val="24"/>
          <w:szCs w:val="24"/>
        </w:rPr>
        <w:t>无条件重新更换配送货物，更换后仍然不符合标准的</w:t>
      </w: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sz w:val="24"/>
          <w:szCs w:val="24"/>
          <w:lang w:eastAsia="zh-CN"/>
        </w:rPr>
        <w:t>甲方</w:t>
      </w:r>
      <w:r>
        <w:rPr>
          <w:rFonts w:hint="eastAsia" w:asciiTheme="minorEastAsia" w:hAnsiTheme="minorEastAsia" w:eastAsiaTheme="minorEastAsia" w:cstheme="minorEastAsia"/>
          <w:sz w:val="24"/>
          <w:szCs w:val="24"/>
        </w:rPr>
        <w:t>有权对</w:t>
      </w:r>
      <w:r>
        <w:rPr>
          <w:rFonts w:hint="eastAsia" w:asciiTheme="minorEastAsia" w:hAnsiTheme="minorEastAsia" w:cstheme="minorEastAsia"/>
          <w:sz w:val="24"/>
          <w:szCs w:val="24"/>
          <w:lang w:eastAsia="zh-CN"/>
        </w:rPr>
        <w:t>乙方</w:t>
      </w:r>
      <w:r>
        <w:rPr>
          <w:rFonts w:hint="eastAsia" w:asciiTheme="minorEastAsia" w:hAnsiTheme="minorEastAsia" w:eastAsiaTheme="minorEastAsia" w:cstheme="minorEastAsia"/>
          <w:sz w:val="24"/>
          <w:szCs w:val="24"/>
        </w:rPr>
        <w:t>处以一定金额的罚款。并根据情节轻重作出相应处罚。处罚金在货款中扣除。</w:t>
      </w:r>
    </w:p>
    <w:p w14:paraId="2646878F">
      <w:pPr>
        <w:pStyle w:val="1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任何因原材料质量问题导致的食品安全或食物中毒责任，在确认因原材料品种引发出现问题导致的，由该</w:t>
      </w:r>
      <w:r>
        <w:rPr>
          <w:rFonts w:hint="eastAsia" w:asciiTheme="minorEastAsia" w:hAnsiTheme="minorEastAsia" w:cstheme="minorEastAsia"/>
          <w:sz w:val="24"/>
          <w:szCs w:val="24"/>
          <w:lang w:eastAsia="zh-CN"/>
        </w:rPr>
        <w:t>乙方</w:t>
      </w:r>
      <w:r>
        <w:rPr>
          <w:rFonts w:hint="eastAsia" w:asciiTheme="minorEastAsia" w:hAnsiTheme="minorEastAsia" w:eastAsiaTheme="minorEastAsia" w:cstheme="minorEastAsia"/>
          <w:sz w:val="24"/>
          <w:szCs w:val="24"/>
        </w:rPr>
        <w:t>承担全部法律责任和所造成的一切经济损失赔偿责任，除对</w:t>
      </w:r>
      <w:r>
        <w:rPr>
          <w:rFonts w:hint="eastAsia" w:asciiTheme="minorEastAsia" w:hAnsiTheme="minorEastAsia" w:cstheme="minorEastAsia"/>
          <w:sz w:val="24"/>
          <w:szCs w:val="24"/>
          <w:lang w:eastAsia="zh-CN"/>
        </w:rPr>
        <w:t>甲方</w:t>
      </w:r>
      <w:r>
        <w:rPr>
          <w:rFonts w:hint="eastAsia" w:asciiTheme="minorEastAsia" w:hAnsiTheme="minorEastAsia" w:eastAsiaTheme="minorEastAsia" w:cstheme="minorEastAsia"/>
          <w:sz w:val="24"/>
          <w:szCs w:val="24"/>
        </w:rPr>
        <w:t>进行赔付外，</w:t>
      </w:r>
      <w:r>
        <w:rPr>
          <w:rFonts w:hint="eastAsia" w:asciiTheme="minorEastAsia" w:hAnsiTheme="minorEastAsia" w:cstheme="minorEastAsia"/>
          <w:sz w:val="24"/>
          <w:szCs w:val="24"/>
          <w:lang w:eastAsia="zh-CN"/>
        </w:rPr>
        <w:t>甲方</w:t>
      </w:r>
      <w:r>
        <w:rPr>
          <w:rFonts w:hint="eastAsia" w:asciiTheme="minorEastAsia" w:hAnsiTheme="minorEastAsia" w:eastAsiaTheme="minorEastAsia" w:cstheme="minorEastAsia"/>
          <w:sz w:val="24"/>
          <w:szCs w:val="24"/>
        </w:rPr>
        <w:t>有权单方终止合同。</w:t>
      </w:r>
    </w:p>
    <w:p w14:paraId="6942011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（5）配送过程中发生的任何安全事故等均由</w:t>
      </w:r>
      <w:r>
        <w:rPr>
          <w:rFonts w:hint="eastAsia" w:asciiTheme="minorEastAsia" w:hAnsiTheme="minorEastAsia" w:cstheme="minorEastAsia"/>
          <w:sz w:val="24"/>
          <w:szCs w:val="24"/>
          <w:lang w:val="en-US" w:eastAsia="zh-CN"/>
        </w:rPr>
        <w:t>乙方</w:t>
      </w:r>
      <w:r>
        <w:rPr>
          <w:rFonts w:hint="eastAsia" w:asciiTheme="minorEastAsia" w:hAnsiTheme="minorEastAsia" w:eastAsiaTheme="minorEastAsia" w:cstheme="minorEastAsia"/>
          <w:sz w:val="24"/>
          <w:szCs w:val="24"/>
          <w:lang w:val="en-US" w:eastAsia="zh-CN"/>
        </w:rPr>
        <w:t>独立承担责任。</w:t>
      </w:r>
    </w:p>
    <w:p w14:paraId="1E3E8EE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cstheme="minorEastAsia"/>
          <w:sz w:val="24"/>
          <w:szCs w:val="24"/>
          <w:lang w:val="en-US" w:eastAsia="zh-CN"/>
        </w:rPr>
        <w:t>乙方</w:t>
      </w:r>
      <w:r>
        <w:rPr>
          <w:rFonts w:hint="eastAsia" w:asciiTheme="minorEastAsia" w:hAnsiTheme="minorEastAsia" w:eastAsiaTheme="minorEastAsia" w:cstheme="minorEastAsia"/>
          <w:sz w:val="24"/>
          <w:szCs w:val="24"/>
          <w:lang w:val="en-US" w:eastAsia="zh-CN"/>
        </w:rPr>
        <w:t>在校内运输物品，应遵守规章制度，服从指挥。由此造成的安全事故，由</w:t>
      </w:r>
      <w:r>
        <w:rPr>
          <w:rFonts w:hint="eastAsia" w:asciiTheme="minorEastAsia" w:hAnsiTheme="minorEastAsia" w:cstheme="minorEastAsia"/>
          <w:sz w:val="24"/>
          <w:szCs w:val="24"/>
          <w:lang w:val="en-US" w:eastAsia="zh-CN"/>
        </w:rPr>
        <w:t>乙方</w:t>
      </w:r>
      <w:r>
        <w:rPr>
          <w:rFonts w:hint="eastAsia" w:asciiTheme="minorEastAsia" w:hAnsiTheme="minorEastAsia" w:eastAsiaTheme="minorEastAsia" w:cstheme="minorEastAsia"/>
          <w:sz w:val="24"/>
          <w:szCs w:val="24"/>
          <w:lang w:val="en-US" w:eastAsia="zh-CN"/>
        </w:rPr>
        <w:t>独立承担一切刑事、民事责任。</w:t>
      </w:r>
    </w:p>
    <w:p w14:paraId="7F562B3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lang w:val="en-US" w:eastAsia="zh-CN"/>
        </w:rPr>
        <w:t>（7）配送中所涉及税收及相应费用由</w:t>
      </w:r>
      <w:r>
        <w:rPr>
          <w:rFonts w:hint="eastAsia" w:asciiTheme="minorEastAsia" w:hAnsiTheme="minorEastAsia" w:cstheme="minorEastAsia"/>
          <w:sz w:val="24"/>
          <w:szCs w:val="24"/>
          <w:lang w:val="en-US" w:eastAsia="zh-CN"/>
        </w:rPr>
        <w:t>乙方</w:t>
      </w:r>
      <w:r>
        <w:rPr>
          <w:rFonts w:hint="eastAsia" w:asciiTheme="minorEastAsia" w:hAnsiTheme="minorEastAsia" w:eastAsiaTheme="minorEastAsia" w:cstheme="minorEastAsia"/>
          <w:sz w:val="24"/>
          <w:szCs w:val="24"/>
          <w:lang w:val="en-US" w:eastAsia="zh-CN"/>
        </w:rPr>
        <w:t>自行承担，所需证、照等均由</w:t>
      </w:r>
      <w:r>
        <w:rPr>
          <w:rFonts w:hint="eastAsia" w:asciiTheme="minorEastAsia" w:hAnsiTheme="minorEastAsia" w:cstheme="minorEastAsia"/>
          <w:sz w:val="24"/>
          <w:szCs w:val="24"/>
          <w:lang w:val="en-US" w:eastAsia="zh-CN"/>
        </w:rPr>
        <w:t>乙方</w:t>
      </w:r>
      <w:r>
        <w:rPr>
          <w:rFonts w:hint="eastAsia" w:asciiTheme="minorEastAsia" w:hAnsiTheme="minorEastAsia" w:eastAsiaTheme="minorEastAsia" w:cstheme="minorEastAsia"/>
          <w:sz w:val="24"/>
          <w:szCs w:val="24"/>
          <w:lang w:val="en-US" w:eastAsia="zh-CN"/>
        </w:rPr>
        <w:t>自行办理。</w:t>
      </w:r>
    </w:p>
    <w:p w14:paraId="5B7C40FC">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九</w:t>
      </w:r>
      <w:r>
        <w:rPr>
          <w:rFonts w:hint="eastAsia" w:asciiTheme="minorEastAsia" w:hAnsiTheme="minorEastAsia" w:eastAsiaTheme="minorEastAsia" w:cstheme="minorEastAsia"/>
          <w:b/>
          <w:bCs/>
          <w:sz w:val="24"/>
          <w:szCs w:val="24"/>
        </w:rPr>
        <w:t>、甲乙双方的责任</w:t>
      </w:r>
    </w:p>
    <w:p w14:paraId="2C3D117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（一）甲方职责：</w:t>
      </w:r>
    </w:p>
    <w:p w14:paraId="58501F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1、在乙方无违约的前提下，甲方委托乙方作为定点采购配送单位，承担本合同类的餐厅原材料采购配送工作。</w:t>
      </w:r>
    </w:p>
    <w:p w14:paraId="06A8953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2、甲方有权监督乙方的原材料采购配送工作。</w:t>
      </w:r>
    </w:p>
    <w:p w14:paraId="1768D9F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3、甲方对乙方所配送食材进行检查，发现过期，损坏等不合格食材，甲方有权拒收，以确保食材安全卫生。</w:t>
      </w:r>
    </w:p>
    <w:p w14:paraId="0BCB1A4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4、甲方如有特殊情况，可提前微信图片或电话通知乙方临时增加食材配送工作，乙方应给予积极配合。</w:t>
      </w:r>
    </w:p>
    <w:p w14:paraId="7A9D248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5、乙方配送的同品种2/3食材的价格高于他人价格，经双方协商无果后，甲方可以提前终止合同。</w:t>
      </w:r>
    </w:p>
    <w:p w14:paraId="1B695F1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（二）乙方职责：</w:t>
      </w:r>
    </w:p>
    <w:p w14:paraId="490431A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1、乙方须按本合同要求，保质保量完成甲方的原材料采购配送工作。</w:t>
      </w:r>
    </w:p>
    <w:p w14:paraId="0D2AD29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2、乙方应指派专人负责甲方原材料采购配送工作，及时收集甲方反馈意见；甲方指定专人检查接收配送产品，如发现不合格产品甲方有权要求乙方更换合格产品。</w:t>
      </w:r>
    </w:p>
    <w:p w14:paraId="3D308E0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3、乙方在配送过程中应做到安全有序，自觉遵守甲方各项安全管理规章制度。乙方为甲方唯一食材</w:t>
      </w:r>
      <w:r>
        <w:rPr>
          <w:rFonts w:hint="eastAsia" w:asciiTheme="minorEastAsia" w:hAnsiTheme="minorEastAsia" w:cstheme="minorEastAsia"/>
          <w:sz w:val="24"/>
          <w:szCs w:val="24"/>
          <w:lang w:eastAsia="zh-CN"/>
        </w:rPr>
        <w:t>乙方</w:t>
      </w:r>
      <w:r>
        <w:rPr>
          <w:rFonts w:hint="eastAsia" w:asciiTheme="minorEastAsia" w:hAnsiTheme="minorEastAsia" w:eastAsiaTheme="minorEastAsia" w:cstheme="minorEastAsia"/>
          <w:sz w:val="24"/>
          <w:szCs w:val="24"/>
        </w:rPr>
        <w:t>，甲方私自采购食材而出现的食物中毒或其他食品安全事故，其后果由甲方承担。</w:t>
      </w:r>
    </w:p>
    <w:p w14:paraId="5791261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4、乙方从甲方得到的采购信息，未经甲方同意，乙方不得向第三方公开，泄漏或使用。</w:t>
      </w:r>
    </w:p>
    <w:p w14:paraId="5CDC95F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5、乙方配送食材原材料被食品监督部门检验不合格造成不良后果，由乙方承担全部责任，并承担全部经济损失。</w:t>
      </w:r>
    </w:p>
    <w:p w14:paraId="7F85333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6、食材供应发生群体食物中毒事故，经检验是乙方配送食材原因的，乙方承担相应事故责任，并承担全部经济损失。</w:t>
      </w:r>
    </w:p>
    <w:p w14:paraId="55C2629C">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十</w:t>
      </w:r>
      <w:r>
        <w:rPr>
          <w:rFonts w:hint="eastAsia" w:asciiTheme="minorEastAsia" w:hAnsiTheme="minorEastAsia" w:eastAsiaTheme="minorEastAsia" w:cstheme="minorEastAsia"/>
          <w:b/>
          <w:bCs/>
          <w:sz w:val="24"/>
          <w:szCs w:val="24"/>
        </w:rPr>
        <w:t>、验收</w:t>
      </w:r>
    </w:p>
    <w:p w14:paraId="6DA81126">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乙方每次随货送上一式二份的送货清单，甲方指派专人接收、称重并验收菜品质量；验收合格后由甲方指定验收员签字核认，作为结算凭证。对不符合质量的品种，甲方有权退、换货。货品验收合格后签收。</w:t>
      </w:r>
    </w:p>
    <w:p w14:paraId="12738915">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库管、采购员负责入库食品检验，值班厨师配合质量验收，食品验收填写《原料购进验收单》，验收标准如下：</w:t>
      </w:r>
    </w:p>
    <w:p w14:paraId="082FD35E">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定型包装食品，应检验包装标识或者产品说明书是否标出品名、产地、厂名、生产日期、批号或者代号、规格、配方或者主要成份、保质期限、食用或者使用方法等，防止购进假冒伪劣产品，禁止“三无”产品进入餐厅；</w:t>
      </w:r>
    </w:p>
    <w:p w14:paraId="453B913A">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（2）主要食材中的定型包装食品，如米面油类，乙方需要提供生产厂家的食品生产许可证；</w:t>
      </w:r>
    </w:p>
    <w:p w14:paraId="1EF85D64">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（3）包装污秽不洁、严重破损、运输工具不洁等造成污染的产品不得验收入库；</w:t>
      </w:r>
    </w:p>
    <w:p w14:paraId="6EB1558A">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14:paraId="0957A3F5">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（5）餐厅采购员、库管员和值班厨师共同对所购食品原辅料的质量、数量进行核对验收，验收合格的及时入库，并在《原料购进验收单》上签字确认。不合格产品应及时退回乙方，同时做好验收记录。</w:t>
      </w:r>
    </w:p>
    <w:p w14:paraId="340809D0">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（6）入库时，保管员要清点入库物品的数量、规格，做到数量、规格、品种准确无误，入库时按不同的材质、规格、功能和要求，分类、分别储存，做到账物相符。</w:t>
      </w:r>
    </w:p>
    <w:p w14:paraId="166EC014">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val="en-US" w:eastAsia="zh-CN"/>
        </w:rPr>
        <w:t>一</w:t>
      </w:r>
      <w:r>
        <w:rPr>
          <w:rFonts w:hint="eastAsia" w:asciiTheme="minorEastAsia" w:hAnsiTheme="minorEastAsia" w:eastAsiaTheme="minorEastAsia" w:cstheme="minorEastAsia"/>
          <w:b/>
          <w:bCs/>
          <w:sz w:val="24"/>
          <w:szCs w:val="24"/>
        </w:rPr>
        <w:t>、违约责任</w:t>
      </w:r>
    </w:p>
    <w:p w14:paraId="4083F4A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1、乙方送货质量问题给甲方造成损失的，由乙方承担全部责任。由于甲方保管原因造成的食品安全问题由甲方承担全部责任。</w:t>
      </w:r>
    </w:p>
    <w:p w14:paraId="1E6FE47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2、甲方逾期未向乙方支付货款，乙方催要无果的，乙方有权终止向甲方供货，并催收货款，按所欠款项总金额的0.5%/天向违约方收取违约滞纳金，同时终止合同。</w:t>
      </w:r>
    </w:p>
    <w:p w14:paraId="455E5C0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3、乙方违反合同职责约定，甲方有权要求乙方及时整改，如乙方整改后仍不能达到甲方要求，甲方有权终止合同。</w:t>
      </w:r>
    </w:p>
    <w:p w14:paraId="29EE7C7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4、任何一方要终止合同都应提前一周(即：7天)以书面方式通知对方。</w:t>
      </w:r>
    </w:p>
    <w:p w14:paraId="4BC0BCF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5、乙方严格按照甲方订单指定采购食材，如因甲方订单失误造成乙方采购货品错误，乙方不承担责任。</w:t>
      </w:r>
    </w:p>
    <w:p w14:paraId="744538EE">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rPr>
        <w:t>、保密规定</w:t>
      </w:r>
    </w:p>
    <w:p w14:paraId="3DCF964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3DB6F8E6">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val="en-US" w:eastAsia="zh-CN"/>
        </w:rPr>
        <w:t>三</w:t>
      </w:r>
      <w:r>
        <w:rPr>
          <w:rFonts w:hint="eastAsia" w:asciiTheme="minorEastAsia" w:hAnsiTheme="minorEastAsia" w:eastAsiaTheme="minorEastAsia" w:cstheme="minorEastAsia"/>
          <w:b/>
          <w:bCs/>
          <w:sz w:val="24"/>
          <w:szCs w:val="24"/>
        </w:rPr>
        <w:t>、合同争议解决的方式</w:t>
      </w:r>
    </w:p>
    <w:p w14:paraId="775971A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本合同在履行过程中发生的争议，由甲、乙双方当事人协商解决，协商不成的按下列第（二）种方式解决：</w:t>
      </w:r>
    </w:p>
    <w:p w14:paraId="339B556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（一）向甲方所在地仲裁委员会提起仲裁；</w:t>
      </w:r>
    </w:p>
    <w:p w14:paraId="29AF3FC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（二）向甲方所在地人民法院提起诉讼。</w:t>
      </w:r>
    </w:p>
    <w:p w14:paraId="7A54BBD1">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rPr>
        <w:t>、合同生效</w:t>
      </w:r>
    </w:p>
    <w:p w14:paraId="5F6E8C0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（一）本合同须经甲、乙双方的法定代表人（授权代理人）在合同书上签字并加盖本单位公章后正式生效。合同签约甲方为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363F538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（二）合同生效后，甲、乙双方须严格执行本合同条款的规定，全面履行合同，违者按《中华人民共 和国民法典》的有关规定承担相应责任。</w:t>
      </w:r>
    </w:p>
    <w:p w14:paraId="78715C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（三）本合同一式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份，甲乙双方各执</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w:t>
      </w:r>
    </w:p>
    <w:p w14:paraId="56E3C69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（四）本合同如有未尽事宜，甲、乙双方协商解决。</w:t>
      </w:r>
    </w:p>
    <w:p w14:paraId="4959522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（五）附件构成本合同不可分割的一部分，与本合同具有同等法律效力。</w:t>
      </w:r>
    </w:p>
    <w:p w14:paraId="7E23B7C5">
      <w:pPr>
        <w:pStyle w:val="6"/>
        <w:keepNext w:val="0"/>
        <w:keepLines w:val="0"/>
        <w:pageBreakBefore w:val="0"/>
        <w:kinsoku/>
        <w:wordWrap/>
        <w:overflowPunct/>
        <w:topLinePunct w:val="0"/>
        <w:bidi w:val="0"/>
        <w:snapToGrid w:val="0"/>
        <w:spacing w:before="65" w:line="360" w:lineRule="auto"/>
        <w:ind w:left="4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pacing w:val="5"/>
          <w:sz w:val="24"/>
          <w:szCs w:val="24"/>
        </w:rPr>
        <w:t>（以下无正文）</w:t>
      </w:r>
    </w:p>
    <w:tbl>
      <w:tblPr>
        <w:tblStyle w:val="9"/>
        <w:tblpPr w:leftFromText="180" w:rightFromText="180" w:vertAnchor="text" w:horzAnchor="page" w:tblpX="1706" w:tblpY="343"/>
        <w:tblOverlap w:val="never"/>
        <w:tblW w:w="954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770"/>
        <w:gridCol w:w="4770"/>
      </w:tblGrid>
      <w:tr w14:paraId="2847A0F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7" w:hRule="atLeast"/>
        </w:trPr>
        <w:tc>
          <w:tcPr>
            <w:tcW w:w="4770" w:type="dxa"/>
            <w:noWrap w:val="0"/>
            <w:vAlign w:val="top"/>
          </w:tcPr>
          <w:p w14:paraId="00FCDC1C">
            <w:pPr>
              <w:pStyle w:val="20"/>
              <w:spacing w:line="360" w:lineRule="auto"/>
              <w:rPr>
                <w:rFonts w:hint="eastAsia" w:eastAsia="宋体"/>
                <w:sz w:val="24"/>
                <w:szCs w:val="24"/>
                <w:lang w:eastAsia="zh-CN"/>
              </w:rPr>
            </w:pPr>
            <w:r>
              <w:rPr>
                <w:spacing w:val="3"/>
                <w:sz w:val="24"/>
                <w:szCs w:val="24"/>
              </w:rPr>
              <w:t>甲方名称（盖章）</w:t>
            </w:r>
            <w:r>
              <w:rPr>
                <w:spacing w:val="-44"/>
                <w:sz w:val="24"/>
                <w:szCs w:val="24"/>
              </w:rPr>
              <w:t xml:space="preserve"> </w:t>
            </w:r>
            <w:r>
              <w:rPr>
                <w:rFonts w:hint="eastAsia"/>
                <w:spacing w:val="3"/>
                <w:sz w:val="24"/>
                <w:szCs w:val="24"/>
                <w:lang w:eastAsia="zh-CN"/>
              </w:rPr>
              <w:t>：</w:t>
            </w:r>
          </w:p>
        </w:tc>
        <w:tc>
          <w:tcPr>
            <w:tcW w:w="4770" w:type="dxa"/>
            <w:noWrap w:val="0"/>
            <w:vAlign w:val="top"/>
          </w:tcPr>
          <w:p w14:paraId="550369A9">
            <w:pPr>
              <w:pStyle w:val="20"/>
              <w:spacing w:line="360" w:lineRule="auto"/>
              <w:jc w:val="center"/>
              <w:rPr>
                <w:rFonts w:hint="eastAsia" w:eastAsia="宋体"/>
                <w:sz w:val="24"/>
                <w:szCs w:val="24"/>
                <w:lang w:eastAsia="zh-CN"/>
              </w:rPr>
            </w:pPr>
            <w:r>
              <w:rPr>
                <w:sz w:val="24"/>
                <w:szCs w:val="24"/>
              </w:rPr>
              <w:t>乙方名称（盖章）</w:t>
            </w:r>
            <w:r>
              <w:rPr>
                <w:spacing w:val="-46"/>
                <w:sz w:val="24"/>
                <w:szCs w:val="24"/>
              </w:rPr>
              <w:t xml:space="preserve"> </w:t>
            </w:r>
            <w:r>
              <w:rPr>
                <w:rFonts w:hint="eastAsia"/>
                <w:sz w:val="24"/>
                <w:szCs w:val="24"/>
                <w:lang w:eastAsia="zh-CN"/>
              </w:rPr>
              <w:t>：</w:t>
            </w:r>
          </w:p>
        </w:tc>
      </w:tr>
      <w:tr w14:paraId="3C61751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5" w:hRule="atLeast"/>
        </w:trPr>
        <w:tc>
          <w:tcPr>
            <w:tcW w:w="4770" w:type="dxa"/>
            <w:noWrap w:val="0"/>
            <w:vAlign w:val="top"/>
          </w:tcPr>
          <w:p w14:paraId="66B44274">
            <w:pPr>
              <w:pStyle w:val="20"/>
              <w:spacing w:before="100" w:line="360" w:lineRule="auto"/>
              <w:rPr>
                <w:sz w:val="24"/>
                <w:szCs w:val="24"/>
              </w:rPr>
            </w:pPr>
            <w:r>
              <w:rPr>
                <w:spacing w:val="3"/>
                <w:sz w:val="24"/>
                <w:szCs w:val="24"/>
              </w:rPr>
              <w:t>地址：</w:t>
            </w:r>
          </w:p>
        </w:tc>
        <w:tc>
          <w:tcPr>
            <w:tcW w:w="4770" w:type="dxa"/>
            <w:noWrap w:val="0"/>
            <w:vAlign w:val="top"/>
          </w:tcPr>
          <w:p w14:paraId="06A17C02">
            <w:pPr>
              <w:pStyle w:val="20"/>
              <w:spacing w:before="100" w:line="360" w:lineRule="auto"/>
              <w:ind w:left="1433"/>
              <w:rPr>
                <w:sz w:val="24"/>
                <w:szCs w:val="24"/>
              </w:rPr>
            </w:pPr>
            <w:r>
              <w:rPr>
                <w:spacing w:val="3"/>
                <w:sz w:val="24"/>
                <w:szCs w:val="24"/>
              </w:rPr>
              <w:t>地址：</w:t>
            </w:r>
          </w:p>
        </w:tc>
      </w:tr>
      <w:tr w14:paraId="480C4D2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5" w:hRule="atLeast"/>
        </w:trPr>
        <w:tc>
          <w:tcPr>
            <w:tcW w:w="4770" w:type="dxa"/>
            <w:noWrap w:val="0"/>
            <w:vAlign w:val="top"/>
          </w:tcPr>
          <w:p w14:paraId="3045BBAE">
            <w:pPr>
              <w:pStyle w:val="20"/>
              <w:spacing w:before="99" w:line="360" w:lineRule="auto"/>
              <w:rPr>
                <w:sz w:val="24"/>
                <w:szCs w:val="24"/>
              </w:rPr>
            </w:pPr>
            <w:r>
              <w:rPr>
                <w:spacing w:val="8"/>
                <w:sz w:val="24"/>
                <w:szCs w:val="24"/>
              </w:rPr>
              <w:t>代表人（签字</w:t>
            </w:r>
            <w:r>
              <w:rPr>
                <w:sz w:val="24"/>
                <w:szCs w:val="24"/>
              </w:rPr>
              <w:t>）：</w:t>
            </w:r>
          </w:p>
        </w:tc>
        <w:tc>
          <w:tcPr>
            <w:tcW w:w="4770" w:type="dxa"/>
            <w:noWrap w:val="0"/>
            <w:vAlign w:val="top"/>
          </w:tcPr>
          <w:p w14:paraId="026A02CA">
            <w:pPr>
              <w:pStyle w:val="20"/>
              <w:spacing w:before="99" w:line="360" w:lineRule="auto"/>
              <w:ind w:left="1432"/>
              <w:rPr>
                <w:sz w:val="24"/>
                <w:szCs w:val="24"/>
              </w:rPr>
            </w:pPr>
            <w:r>
              <w:rPr>
                <w:spacing w:val="8"/>
                <w:sz w:val="24"/>
                <w:szCs w:val="24"/>
              </w:rPr>
              <w:t>代表人（签字</w:t>
            </w:r>
            <w:r>
              <w:rPr>
                <w:sz w:val="24"/>
                <w:szCs w:val="24"/>
              </w:rPr>
              <w:t>）：</w:t>
            </w:r>
          </w:p>
        </w:tc>
      </w:tr>
      <w:tr w14:paraId="1165189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7" w:hRule="atLeast"/>
        </w:trPr>
        <w:tc>
          <w:tcPr>
            <w:tcW w:w="4770" w:type="dxa"/>
            <w:noWrap w:val="0"/>
            <w:vAlign w:val="top"/>
          </w:tcPr>
          <w:p w14:paraId="2EA87B0B">
            <w:pPr>
              <w:pStyle w:val="20"/>
              <w:spacing w:before="99" w:line="360" w:lineRule="auto"/>
              <w:ind w:left="25"/>
              <w:rPr>
                <w:sz w:val="24"/>
                <w:szCs w:val="24"/>
              </w:rPr>
            </w:pPr>
            <w:r>
              <w:rPr>
                <w:spacing w:val="-5"/>
                <w:sz w:val="24"/>
                <w:szCs w:val="24"/>
              </w:rPr>
              <w:t>电话：</w:t>
            </w:r>
          </w:p>
        </w:tc>
        <w:tc>
          <w:tcPr>
            <w:tcW w:w="4770" w:type="dxa"/>
            <w:noWrap w:val="0"/>
            <w:vAlign w:val="top"/>
          </w:tcPr>
          <w:p w14:paraId="76D46E60">
            <w:pPr>
              <w:pStyle w:val="20"/>
              <w:spacing w:before="99" w:line="360" w:lineRule="auto"/>
              <w:ind w:left="1457"/>
              <w:rPr>
                <w:sz w:val="24"/>
                <w:szCs w:val="24"/>
              </w:rPr>
            </w:pPr>
            <w:r>
              <w:rPr>
                <w:spacing w:val="-5"/>
                <w:sz w:val="24"/>
                <w:szCs w:val="24"/>
              </w:rPr>
              <w:t>电话：</w:t>
            </w:r>
          </w:p>
        </w:tc>
      </w:tr>
      <w:tr w14:paraId="1A1E496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7" w:hRule="atLeast"/>
        </w:trPr>
        <w:tc>
          <w:tcPr>
            <w:tcW w:w="4770" w:type="dxa"/>
            <w:noWrap w:val="0"/>
            <w:vAlign w:val="top"/>
          </w:tcPr>
          <w:p w14:paraId="07997367">
            <w:pPr>
              <w:pStyle w:val="20"/>
              <w:spacing w:before="101" w:line="360" w:lineRule="auto"/>
              <w:ind w:left="1"/>
              <w:rPr>
                <w:sz w:val="24"/>
                <w:szCs w:val="24"/>
              </w:rPr>
            </w:pPr>
            <w:r>
              <w:rPr>
                <w:spacing w:val="5"/>
                <w:sz w:val="24"/>
                <w:szCs w:val="24"/>
              </w:rPr>
              <w:t>开户银行：</w:t>
            </w:r>
          </w:p>
        </w:tc>
        <w:tc>
          <w:tcPr>
            <w:tcW w:w="4770" w:type="dxa"/>
            <w:noWrap w:val="0"/>
            <w:vAlign w:val="top"/>
          </w:tcPr>
          <w:p w14:paraId="4C7635C9">
            <w:pPr>
              <w:pStyle w:val="20"/>
              <w:spacing w:before="101" w:line="360" w:lineRule="auto"/>
              <w:ind w:left="1434"/>
              <w:rPr>
                <w:sz w:val="24"/>
                <w:szCs w:val="24"/>
              </w:rPr>
            </w:pPr>
            <w:r>
              <w:rPr>
                <w:spacing w:val="5"/>
                <w:sz w:val="24"/>
                <w:szCs w:val="24"/>
              </w:rPr>
              <w:t>开户银行：</w:t>
            </w:r>
          </w:p>
        </w:tc>
      </w:tr>
      <w:tr w14:paraId="1B71F8C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09" w:hRule="atLeast"/>
        </w:trPr>
        <w:tc>
          <w:tcPr>
            <w:tcW w:w="4770" w:type="dxa"/>
            <w:noWrap w:val="0"/>
            <w:vAlign w:val="top"/>
          </w:tcPr>
          <w:p w14:paraId="2C5843BD">
            <w:pPr>
              <w:pStyle w:val="20"/>
              <w:spacing w:before="100" w:line="360" w:lineRule="auto"/>
              <w:ind w:left="8"/>
              <w:rPr>
                <w:sz w:val="24"/>
                <w:szCs w:val="24"/>
              </w:rPr>
            </w:pPr>
            <w:r>
              <w:rPr>
                <w:sz w:val="24"/>
                <w:szCs w:val="24"/>
              </w:rPr>
              <w:t>帐号：</w:t>
            </w:r>
          </w:p>
        </w:tc>
        <w:tc>
          <w:tcPr>
            <w:tcW w:w="4770" w:type="dxa"/>
            <w:noWrap w:val="0"/>
            <w:vAlign w:val="top"/>
          </w:tcPr>
          <w:p w14:paraId="77D21845">
            <w:pPr>
              <w:pStyle w:val="20"/>
              <w:spacing w:before="100" w:line="360" w:lineRule="auto"/>
              <w:ind w:left="1441"/>
              <w:rPr>
                <w:sz w:val="24"/>
                <w:szCs w:val="24"/>
              </w:rPr>
            </w:pPr>
            <w:r>
              <w:rPr>
                <w:sz w:val="24"/>
                <w:szCs w:val="24"/>
              </w:rPr>
              <w:t>帐号：</w:t>
            </w:r>
          </w:p>
        </w:tc>
      </w:tr>
    </w:tbl>
    <w:p w14:paraId="270604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5177A"/>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E274C11"/>
    <w:rsid w:val="0EAC0AFD"/>
    <w:rsid w:val="11F33501"/>
    <w:rsid w:val="14116EB5"/>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6603F1B"/>
    <w:rsid w:val="27C120C7"/>
    <w:rsid w:val="283050FB"/>
    <w:rsid w:val="28F04CA6"/>
    <w:rsid w:val="293F0948"/>
    <w:rsid w:val="2975156E"/>
    <w:rsid w:val="2C1D0BC2"/>
    <w:rsid w:val="2CD87928"/>
    <w:rsid w:val="2D665C1C"/>
    <w:rsid w:val="2D7C41E1"/>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B2C22D1"/>
    <w:rsid w:val="3BAA0841"/>
    <w:rsid w:val="3BE663F2"/>
    <w:rsid w:val="3BF3011D"/>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BC4ECF"/>
    <w:rsid w:val="57640CEA"/>
    <w:rsid w:val="57923690"/>
    <w:rsid w:val="59AD5459"/>
    <w:rsid w:val="5B147DB2"/>
    <w:rsid w:val="5BF84DFD"/>
    <w:rsid w:val="5D632CDE"/>
    <w:rsid w:val="5E4A41BF"/>
    <w:rsid w:val="5EF37821"/>
    <w:rsid w:val="61D36C4B"/>
    <w:rsid w:val="61EC24E5"/>
    <w:rsid w:val="629B747C"/>
    <w:rsid w:val="64D24668"/>
    <w:rsid w:val="65A46809"/>
    <w:rsid w:val="67826B95"/>
    <w:rsid w:val="67984807"/>
    <w:rsid w:val="6816429A"/>
    <w:rsid w:val="6ADE227F"/>
    <w:rsid w:val="6BDD7C73"/>
    <w:rsid w:val="6C775A02"/>
    <w:rsid w:val="6CB20263"/>
    <w:rsid w:val="6E3B0847"/>
    <w:rsid w:val="6EE70791"/>
    <w:rsid w:val="6F076F23"/>
    <w:rsid w:val="6F462F26"/>
    <w:rsid w:val="6F557B1F"/>
    <w:rsid w:val="704260BE"/>
    <w:rsid w:val="709231C5"/>
    <w:rsid w:val="71310596"/>
    <w:rsid w:val="713F5856"/>
    <w:rsid w:val="74844791"/>
    <w:rsid w:val="74D45855"/>
    <w:rsid w:val="74D575F2"/>
    <w:rsid w:val="74DD3202"/>
    <w:rsid w:val="76676215"/>
    <w:rsid w:val="76F1383A"/>
    <w:rsid w:val="77062109"/>
    <w:rsid w:val="77E2713E"/>
    <w:rsid w:val="7AD5146A"/>
    <w:rsid w:val="7AFE2D3C"/>
    <w:rsid w:val="7B637D31"/>
    <w:rsid w:val="7BE47684"/>
    <w:rsid w:val="7DDD1E87"/>
    <w:rsid w:val="7DE9682E"/>
    <w:rsid w:val="7E551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0"/>
      <w:szCs w:val="44"/>
      <w:lang w:eastAsia="zh-CN"/>
    </w:rPr>
  </w:style>
  <w:style w:type="paragraph" w:styleId="3">
    <w:name w:val="heading 2"/>
    <w:basedOn w:val="1"/>
    <w:next w:val="1"/>
    <w:link w:val="13"/>
    <w:autoRedefine/>
    <w:semiHidden/>
    <w:unhideWhenUsed/>
    <w:qFormat/>
    <w:uiPriority w:val="0"/>
    <w:pPr>
      <w:keepNext/>
      <w:widowControl w:val="0"/>
      <w:spacing w:line="720" w:lineRule="exact"/>
      <w:jc w:val="left"/>
      <w:outlineLvl w:val="1"/>
    </w:pPr>
    <w:rPr>
      <w:rFonts w:ascii="黑体" w:hAnsi="黑体" w:eastAsia="宋体" w:cs="Times New Roman"/>
      <w:b/>
      <w:kern w:val="2"/>
      <w:sz w:val="28"/>
      <w:szCs w:val="24"/>
      <w:lang w:eastAsia="zh-CN"/>
    </w:rPr>
  </w:style>
  <w:style w:type="paragraph" w:styleId="4">
    <w:name w:val="heading 3"/>
    <w:basedOn w:val="3"/>
    <w:next w:val="1"/>
    <w:link w:val="14"/>
    <w:autoRedefine/>
    <w:semiHidden/>
    <w:unhideWhenUsed/>
    <w:qFormat/>
    <w:uiPriority w:val="0"/>
    <w:pPr>
      <w:spacing w:before="0" w:beforeAutospacing="1" w:after="0" w:afterAutospacing="1" w:line="240" w:lineRule="auto"/>
      <w:jc w:val="left"/>
      <w:outlineLvl w:val="2"/>
    </w:pPr>
    <w:rPr>
      <w:rFonts w:hint="eastAsia" w:ascii="宋体" w:hAnsi="宋体" w:eastAsia="宋体" w:cs="宋体"/>
      <w:bCs/>
      <w:kern w:val="0"/>
      <w:sz w:val="30"/>
      <w:szCs w:val="27"/>
      <w:lang w:bidi="ar"/>
    </w:rPr>
  </w:style>
  <w:style w:type="paragraph" w:styleId="5">
    <w:name w:val="heading 4"/>
    <w:basedOn w:val="1"/>
    <w:next w:val="1"/>
    <w:autoRedefine/>
    <w:semiHidden/>
    <w:unhideWhenUsed/>
    <w:qFormat/>
    <w:uiPriority w:val="0"/>
    <w:pPr>
      <w:keepNext/>
      <w:keepLines/>
      <w:adjustRightInd w:val="0"/>
      <w:spacing w:line="360" w:lineRule="auto"/>
      <w:jc w:val="center"/>
      <w:outlineLvl w:val="3"/>
    </w:pPr>
    <w:rPr>
      <w:rFonts w:ascii="宋体" w:hAnsi="宋体" w:eastAsia="宋体" w:cstheme="majorBidi"/>
      <w:b/>
      <w:bCs/>
      <w:kern w:val="0"/>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5"/>
    <w:qFormat/>
    <w:uiPriority w:val="0"/>
    <w:rPr>
      <w:color w:val="99330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customStyle="1" w:styleId="12">
    <w:name w:val="标题 1 Char"/>
    <w:basedOn w:val="10"/>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3">
    <w:name w:val="标题 2 Char"/>
    <w:link w:val="3"/>
    <w:qFormat/>
    <w:uiPriority w:val="0"/>
    <w:rPr>
      <w:rFonts w:ascii="宋体" w:hAnsi="宋体" w:eastAsia="宋体" w:cs="Times New Roman"/>
      <w:b/>
      <w:bCs/>
      <w:snapToGrid w:val="0"/>
      <w:color w:val="000000"/>
      <w:kern w:val="2"/>
      <w:sz w:val="28"/>
      <w:szCs w:val="24"/>
      <w:lang w:val="en-US" w:eastAsia="zh-CN" w:bidi="ar-SA"/>
    </w:rPr>
  </w:style>
  <w:style w:type="character" w:customStyle="1" w:styleId="14">
    <w:name w:val="标题 3 Char"/>
    <w:link w:val="4"/>
    <w:autoRedefine/>
    <w:qFormat/>
    <w:uiPriority w:val="0"/>
    <w:rPr>
      <w:rFonts w:ascii="宋体" w:hAnsi="宋体" w:eastAsia="宋体" w:cs="宋体"/>
      <w:b/>
      <w:kern w:val="2"/>
      <w:sz w:val="30"/>
      <w:szCs w:val="28"/>
      <w:lang w:val="en-US" w:eastAsia="zh-CN" w:bidi="ar-SA"/>
    </w:rPr>
  </w:style>
  <w:style w:type="paragraph" w:customStyle="1" w:styleId="15">
    <w:name w:val="Heading #3|1"/>
    <w:basedOn w:val="1"/>
    <w:link w:val="16"/>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6">
    <w:name w:val="Heading #3|1_"/>
    <w:basedOn w:val="10"/>
    <w:link w:val="15"/>
    <w:qFormat/>
    <w:uiPriority w:val="0"/>
    <w:rPr>
      <w:rFonts w:ascii="宋体" w:hAnsi="宋体" w:eastAsia="宋体" w:cs="宋体"/>
      <w:sz w:val="32"/>
      <w:szCs w:val="32"/>
      <w:lang w:val="zh-TW" w:eastAsia="zh-TW" w:bidi="zh-TW"/>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列出段落1"/>
    <w:basedOn w:val="1"/>
    <w:qFormat/>
    <w:uiPriority w:val="99"/>
    <w:pPr>
      <w:ind w:firstLine="420" w:firstLineChars="200"/>
    </w:pPr>
  </w:style>
  <w:style w:type="paragraph" w:customStyle="1" w:styleId="19">
    <w:name w:val="Table caption|1"/>
    <w:basedOn w:val="1"/>
    <w:qFormat/>
    <w:uiPriority w:val="0"/>
    <w:pPr>
      <w:spacing w:line="274" w:lineRule="auto"/>
      <w:ind w:firstLine="240"/>
      <w:jc w:val="left"/>
    </w:pPr>
    <w:rPr>
      <w:rFonts w:ascii="宋体" w:hAnsi="宋体" w:eastAsia="宋体" w:cs="宋体"/>
      <w:color w:val="F65D51"/>
      <w:kern w:val="0"/>
      <w:sz w:val="20"/>
      <w:szCs w:val="20"/>
      <w:lang w:val="zh-TW" w:eastAsia="zh-TW" w:bidi="zh-TW"/>
    </w:rPr>
  </w:style>
  <w:style w:type="paragraph" w:customStyle="1" w:styleId="20">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6384</Words>
  <Characters>6611</Characters>
  <Lines>0</Lines>
  <Paragraphs>0</Paragraphs>
  <TotalTime>1</TotalTime>
  <ScaleCrop>false</ScaleCrop>
  <LinksUpToDate>false</LinksUpToDate>
  <CharactersWithSpaces>6698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2025-12-11T09:45:00Z</dcterms:created>
  <dc:creator>Lucalulu</dc:creator>
  <cp:lastModifiedBy>王大路</cp:lastModifiedBy>
  <dcterms:modified xsi:type="dcterms:W3CDTF">2026-03-23T11:01:01Z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BCF96121C39546539EAEBB2384C0F237_13</vt:lpwstr>
  </property>
  <property fmtid="{D5CDD505-2E9C-101B-9397-08002B2CF9AE}" pid="4" name="KSOTemplateDocerSaveRecord">
    <vt:lpwstr>eyJoZGlkIjoiNGMwOWFhODgzZDhlNTZkZTM4ZGZlZTJjYWNmNDI0YzUiLCJ1c2VySWQiOiIyOTEzMjkyNzgifQ==</vt:lpwstr>
  </property>
</Properties>
</file>