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版本号：LC-ZC-2026-00420260326001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2026年丝博会推介会、招商资料等招商引资工作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LC-ZC-2026-004</w:t>
      </w:r>
      <w:r>
        <w:br/>
      </w:r>
      <w:r>
        <w:br/>
      </w:r>
      <w:r>
        <w:br/>
      </w:r>
    </w:p>
    <w:p>
      <w:pPr>
        <w:pStyle w:val="null3"/>
        <w:jc w:val="center"/>
        <w:outlineLvl w:val="2"/>
      </w:pPr>
      <w:r>
        <w:rPr>
          <w:rFonts w:ascii="仿宋_GB2312" w:hAnsi="仿宋_GB2312" w:cs="仿宋_GB2312" w:eastAsia="仿宋_GB2312"/>
          <w:sz w:val="28"/>
          <w:b/>
        </w:rPr>
        <w:t>西安市未央区投资合作局</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西安市未央区投资合作局</w:t>
      </w:r>
      <w:r>
        <w:rPr>
          <w:rFonts w:ascii="仿宋_GB2312" w:hAnsi="仿宋_GB2312" w:cs="仿宋_GB2312" w:eastAsia="仿宋_GB2312"/>
        </w:rPr>
        <w:t>委托，拟对</w:t>
      </w:r>
      <w:r>
        <w:rPr>
          <w:rFonts w:ascii="仿宋_GB2312" w:hAnsi="仿宋_GB2312" w:cs="仿宋_GB2312" w:eastAsia="仿宋_GB2312"/>
        </w:rPr>
        <w:t>2026年丝博会推介会、招商资料等招商引资工作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LC-ZC-2026-004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2026年丝博会推介会、招商资料等招商引资工作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未央区招商引资工作资料的策划、设计与制作等；未央区招商引资宣传片的策划、制作及修改等；丝博会专题投资推介会等招商活动的策划与执行等。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采购包1（2026年丝博会推介会、招商资料等招商引资工作）：属于专门面向中小企业采购。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1、法定代表人（主要负责人）委托授权书\身份证明：法定代表人授权书（附法定代表人、被授权人身份证复印件）及被授权人身份证（法定代表人直接参加磋商，须提供法定代表人身份证明及身份证复印件）</w:t>
      </w:r>
    </w:p>
    <w:p>
      <w:pPr>
        <w:pStyle w:val="null3"/>
      </w:pPr>
      <w:r>
        <w:rPr>
          <w:rFonts w:ascii="仿宋_GB2312" w:hAnsi="仿宋_GB2312" w:cs="仿宋_GB2312" w:eastAsia="仿宋_GB2312"/>
        </w:rPr>
        <w:t>2、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西安市未央区投资合作局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西安市未央路未央大厦B座5层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029-86233710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采购包1：923,720.00元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代理服务费收费标准：以中标金额为基数，参照国家计委颁发的计价格〔2002〕1980号和发改办价格〔2003〕857号文件的有关规定下浮5%计算，向成交供应商收取。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西安市未央区投资合作局</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西安市未央区投资合作局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西安市未央区投资合作局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满足国家和行业现行相关标准以及采购人的要求。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未央区招商引资工作资料的策划、设计与制作等；未央区招商引资宣传片的策划、制作及修改等；丝博会专题投资推介会等招商活动的策划与执行等。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923,720.00</w:t>
      </w:r>
    </w:p>
    <w:p>
      <w:pPr>
        <w:pStyle w:val="null3"/>
      </w:pPr>
      <w:r>
        <w:rPr>
          <w:rFonts w:ascii="仿宋_GB2312" w:hAnsi="仿宋_GB2312" w:cs="仿宋_GB2312" w:eastAsia="仿宋_GB2312"/>
        </w:rPr>
        <w:t>采购包最高限价（元）: 923,720.00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2026年丝博会推介会招商资料等招商引资工作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923,720.00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标的名称：2026年丝博会推介会招商资料等招商引资工作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76"/>
              <w:jc w:val="both"/>
            </w:pPr>
            <w:r>
              <w:rPr>
                <w:rFonts w:ascii="仿宋_GB2312" w:hAnsi="仿宋_GB2312" w:cs="仿宋_GB2312" w:eastAsia="仿宋_GB2312"/>
                <w:sz w:val="18"/>
              </w:rPr>
              <w:t>（一）招商引资工作资料策划设计制作印刷</w:t>
            </w:r>
          </w:p>
          <w:p>
            <w:pPr>
              <w:pStyle w:val="null3"/>
              <w:ind w:left="420" w:firstLine="576"/>
              <w:jc w:val="both"/>
            </w:pPr>
            <w:r>
              <w:rPr>
                <w:rFonts w:ascii="仿宋_GB2312" w:hAnsi="仿宋_GB2312" w:cs="仿宋_GB2312" w:eastAsia="仿宋_GB2312"/>
                <w:sz w:val="18"/>
              </w:rPr>
              <w:t>1、2026年招商投资手册、读地手册、重点项目手册、手提袋等招商引资工作各种宣传资料的策划、设计、制作印刷等。要求内容准确无误、制作精良、庄重规范、便于宣传。</w:t>
            </w:r>
          </w:p>
          <w:p>
            <w:pPr>
              <w:pStyle w:val="null3"/>
              <w:ind w:left="420" w:firstLine="576"/>
              <w:jc w:val="both"/>
            </w:pPr>
            <w:r>
              <w:rPr>
                <w:rFonts w:ascii="仿宋_GB2312" w:hAnsi="仿宋_GB2312" w:cs="仿宋_GB2312" w:eastAsia="仿宋_GB2312"/>
                <w:sz w:val="18"/>
              </w:rPr>
              <w:t>2、工作资料包括但不限于：</w:t>
            </w:r>
          </w:p>
          <w:p>
            <w:pPr>
              <w:pStyle w:val="null3"/>
              <w:ind w:firstLine="576"/>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）宣传资料版面设计、打样印刷1项；</w:t>
            </w:r>
          </w:p>
          <w:p>
            <w:pPr>
              <w:pStyle w:val="null3"/>
              <w:ind w:firstLine="576"/>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）投资</w:t>
            </w:r>
            <w:r>
              <w:rPr>
                <w:rFonts w:ascii="仿宋_GB2312" w:hAnsi="仿宋_GB2312" w:cs="仿宋_GB2312" w:eastAsia="仿宋_GB2312"/>
                <w:sz w:val="18"/>
              </w:rPr>
              <w:t>手册</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500册；</w:t>
            </w:r>
          </w:p>
          <w:p>
            <w:pPr>
              <w:pStyle w:val="null3"/>
              <w:ind w:firstLine="576"/>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读地手册</w:t>
            </w:r>
            <w:r>
              <w:rPr>
                <w:rFonts w:ascii="仿宋_GB2312" w:hAnsi="仿宋_GB2312" w:cs="仿宋_GB2312" w:eastAsia="仿宋_GB2312"/>
                <w:sz w:val="18"/>
              </w:rPr>
              <w:t>：</w:t>
            </w:r>
            <w:r>
              <w:rPr>
                <w:rFonts w:ascii="仿宋_GB2312" w:hAnsi="仿宋_GB2312" w:cs="仿宋_GB2312" w:eastAsia="仿宋_GB2312"/>
                <w:sz w:val="18"/>
              </w:rPr>
              <w:t>2500</w:t>
            </w:r>
            <w:r>
              <w:rPr>
                <w:rFonts w:ascii="仿宋_GB2312" w:hAnsi="仿宋_GB2312" w:cs="仿宋_GB2312" w:eastAsia="仿宋_GB2312"/>
                <w:sz w:val="18"/>
              </w:rPr>
              <w:t>册；</w:t>
            </w:r>
          </w:p>
          <w:p>
            <w:pPr>
              <w:pStyle w:val="null3"/>
              <w:ind w:firstLine="576"/>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重点</w:t>
            </w:r>
            <w:r>
              <w:rPr>
                <w:rFonts w:ascii="仿宋_GB2312" w:hAnsi="仿宋_GB2312" w:cs="仿宋_GB2312" w:eastAsia="仿宋_GB2312"/>
                <w:sz w:val="18"/>
              </w:rPr>
              <w:t>项目</w:t>
            </w:r>
            <w:r>
              <w:rPr>
                <w:rFonts w:ascii="仿宋_GB2312" w:hAnsi="仿宋_GB2312" w:cs="仿宋_GB2312" w:eastAsia="仿宋_GB2312"/>
                <w:sz w:val="18"/>
              </w:rPr>
              <w:t>/政策汇编等</w:t>
            </w:r>
            <w:r>
              <w:rPr>
                <w:rFonts w:ascii="仿宋_GB2312" w:hAnsi="仿宋_GB2312" w:cs="仿宋_GB2312" w:eastAsia="仿宋_GB2312"/>
                <w:sz w:val="18"/>
              </w:rPr>
              <w:t>介绍</w:t>
            </w:r>
            <w:r>
              <w:rPr>
                <w:rFonts w:ascii="仿宋_GB2312" w:hAnsi="仿宋_GB2312" w:cs="仿宋_GB2312" w:eastAsia="仿宋_GB2312"/>
                <w:sz w:val="18"/>
              </w:rPr>
              <w:t>册</w:t>
            </w:r>
            <w:r>
              <w:rPr>
                <w:rFonts w:ascii="仿宋_GB2312" w:hAnsi="仿宋_GB2312" w:cs="仿宋_GB2312" w:eastAsia="仿宋_GB2312"/>
                <w:sz w:val="18"/>
              </w:rPr>
              <w:t>：</w:t>
            </w:r>
            <w:r>
              <w:rPr>
                <w:rFonts w:ascii="仿宋_GB2312" w:hAnsi="仿宋_GB2312" w:cs="仿宋_GB2312" w:eastAsia="仿宋_GB2312"/>
                <w:sz w:val="18"/>
              </w:rPr>
              <w:t>2500</w:t>
            </w:r>
            <w:r>
              <w:rPr>
                <w:rFonts w:ascii="仿宋_GB2312" w:hAnsi="仿宋_GB2312" w:cs="仿宋_GB2312" w:eastAsia="仿宋_GB2312"/>
                <w:sz w:val="18"/>
              </w:rPr>
              <w:t>套；</w:t>
            </w:r>
          </w:p>
          <w:p>
            <w:pPr>
              <w:pStyle w:val="null3"/>
              <w:ind w:firstLine="576"/>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）项目介绍封套：</w:t>
            </w:r>
            <w:r>
              <w:rPr>
                <w:rFonts w:ascii="仿宋_GB2312" w:hAnsi="仿宋_GB2312" w:cs="仿宋_GB2312" w:eastAsia="仿宋_GB2312"/>
                <w:sz w:val="18"/>
              </w:rPr>
              <w:t>2500</w:t>
            </w:r>
            <w:r>
              <w:rPr>
                <w:rFonts w:ascii="仿宋_GB2312" w:hAnsi="仿宋_GB2312" w:cs="仿宋_GB2312" w:eastAsia="仿宋_GB2312"/>
                <w:sz w:val="18"/>
              </w:rPr>
              <w:t>个；</w:t>
            </w:r>
          </w:p>
          <w:p>
            <w:pPr>
              <w:pStyle w:val="null3"/>
              <w:ind w:firstLine="576"/>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）宣传</w:t>
            </w:r>
            <w:r>
              <w:rPr>
                <w:rFonts w:ascii="仿宋_GB2312" w:hAnsi="仿宋_GB2312" w:cs="仿宋_GB2312" w:eastAsia="仿宋_GB2312"/>
                <w:sz w:val="18"/>
              </w:rPr>
              <w:t>资料手提</w:t>
            </w:r>
            <w:r>
              <w:rPr>
                <w:rFonts w:ascii="仿宋_GB2312" w:hAnsi="仿宋_GB2312" w:cs="仿宋_GB2312" w:eastAsia="仿宋_GB2312"/>
                <w:sz w:val="18"/>
              </w:rPr>
              <w:t>袋：</w:t>
            </w:r>
            <w:r>
              <w:rPr>
                <w:rFonts w:ascii="仿宋_GB2312" w:hAnsi="仿宋_GB2312" w:cs="仿宋_GB2312" w:eastAsia="仿宋_GB2312"/>
                <w:sz w:val="18"/>
              </w:rPr>
              <w:t>2500</w:t>
            </w:r>
            <w:r>
              <w:rPr>
                <w:rFonts w:ascii="仿宋_GB2312" w:hAnsi="仿宋_GB2312" w:cs="仿宋_GB2312" w:eastAsia="仿宋_GB2312"/>
                <w:sz w:val="18"/>
              </w:rPr>
              <w:t>个；</w:t>
            </w:r>
          </w:p>
          <w:p>
            <w:pPr>
              <w:pStyle w:val="null3"/>
              <w:ind w:firstLine="576"/>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）宣传品：</w:t>
            </w:r>
            <w:r>
              <w:rPr>
                <w:rFonts w:ascii="仿宋_GB2312" w:hAnsi="仿宋_GB2312" w:cs="仿宋_GB2312" w:eastAsia="仿宋_GB2312"/>
                <w:sz w:val="18"/>
              </w:rPr>
              <w:t>1000</w:t>
            </w:r>
            <w:r>
              <w:rPr>
                <w:rFonts w:ascii="仿宋_GB2312" w:hAnsi="仿宋_GB2312" w:cs="仿宋_GB2312" w:eastAsia="仿宋_GB2312"/>
                <w:sz w:val="18"/>
              </w:rPr>
              <w:t>个；</w:t>
            </w:r>
          </w:p>
          <w:p>
            <w:pPr>
              <w:pStyle w:val="null3"/>
              <w:ind w:firstLine="576"/>
              <w:jc w:val="both"/>
            </w:pPr>
            <w:r>
              <w:rPr>
                <w:rFonts w:ascii="仿宋_GB2312" w:hAnsi="仿宋_GB2312" w:cs="仿宋_GB2312" w:eastAsia="仿宋_GB2312"/>
                <w:sz w:val="18"/>
              </w:rPr>
              <w:t>（8）招商信息网络平台宣传1项。</w:t>
            </w:r>
          </w:p>
          <w:p>
            <w:pPr>
              <w:pStyle w:val="null3"/>
              <w:ind w:firstLine="578"/>
              <w:jc w:val="both"/>
            </w:pPr>
            <w:r>
              <w:rPr>
                <w:rFonts w:ascii="仿宋_GB2312" w:hAnsi="仿宋_GB2312" w:cs="仿宋_GB2312" w:eastAsia="仿宋_GB2312"/>
                <w:sz w:val="18"/>
                <w:b/>
                <w:u w:val="single"/>
              </w:rPr>
              <w:t>注：以上数量等情况为参考，</w:t>
            </w:r>
            <w:r>
              <w:rPr>
                <w:rFonts w:ascii="仿宋_GB2312" w:hAnsi="仿宋_GB2312" w:cs="仿宋_GB2312" w:eastAsia="仿宋_GB2312"/>
                <w:sz w:val="18"/>
                <w:b/>
                <w:u w:val="single"/>
              </w:rPr>
              <w:t>具体根据工作实际开展情况</w:t>
            </w:r>
            <w:r>
              <w:rPr>
                <w:rFonts w:ascii="仿宋_GB2312" w:hAnsi="仿宋_GB2312" w:cs="仿宋_GB2312" w:eastAsia="仿宋_GB2312"/>
                <w:sz w:val="18"/>
                <w:b/>
                <w:u w:val="single"/>
              </w:rPr>
              <w:t>而调整</w:t>
            </w:r>
            <w:r>
              <w:rPr>
                <w:rFonts w:ascii="仿宋_GB2312" w:hAnsi="仿宋_GB2312" w:cs="仿宋_GB2312" w:eastAsia="仿宋_GB2312"/>
                <w:sz w:val="18"/>
                <w:b/>
                <w:u w:val="single"/>
              </w:rPr>
              <w:t>。</w:t>
            </w:r>
          </w:p>
          <w:p>
            <w:pPr>
              <w:pStyle w:val="null3"/>
              <w:ind w:left="420" w:firstLine="576"/>
              <w:jc w:val="both"/>
            </w:pPr>
            <w:r>
              <w:rPr>
                <w:rFonts w:ascii="仿宋_GB2312" w:hAnsi="仿宋_GB2312" w:cs="仿宋_GB2312" w:eastAsia="仿宋_GB2312"/>
                <w:sz w:val="18"/>
              </w:rPr>
              <w:t>3、发放途径：用于丝博会暨未央区专场投资推介会、日常招商工作、重点项目签约会等各类招商推介活动以及区委区政府主要领导外出招商活动。</w:t>
            </w:r>
          </w:p>
          <w:p>
            <w:pPr>
              <w:pStyle w:val="null3"/>
              <w:ind w:firstLine="576"/>
              <w:jc w:val="both"/>
            </w:pPr>
            <w:r>
              <w:rPr>
                <w:rFonts w:ascii="仿宋_GB2312" w:hAnsi="仿宋_GB2312" w:cs="仿宋_GB2312" w:eastAsia="仿宋_GB2312"/>
                <w:sz w:val="18"/>
              </w:rPr>
              <w:t>（二）2026年</w:t>
            </w:r>
            <w:r>
              <w:rPr>
                <w:rFonts w:ascii="仿宋_GB2312" w:hAnsi="仿宋_GB2312" w:cs="仿宋_GB2312" w:eastAsia="仿宋_GB2312"/>
                <w:sz w:val="18"/>
              </w:rPr>
              <w:t>未央区招商引资</w:t>
            </w:r>
            <w:r>
              <w:rPr>
                <w:rFonts w:ascii="仿宋_GB2312" w:hAnsi="仿宋_GB2312" w:cs="仿宋_GB2312" w:eastAsia="仿宋_GB2312"/>
                <w:sz w:val="18"/>
              </w:rPr>
              <w:t>宣传片的修改制作</w:t>
            </w:r>
          </w:p>
          <w:p>
            <w:pPr>
              <w:pStyle w:val="null3"/>
              <w:ind w:firstLine="576"/>
              <w:jc w:val="both"/>
            </w:pPr>
            <w:r>
              <w:rPr>
                <w:rFonts w:ascii="仿宋_GB2312" w:hAnsi="仿宋_GB2312" w:cs="仿宋_GB2312" w:eastAsia="仿宋_GB2312"/>
                <w:sz w:val="18"/>
              </w:rPr>
              <w:t>1、宣传片内容要求：</w:t>
            </w:r>
          </w:p>
          <w:p>
            <w:pPr>
              <w:pStyle w:val="null3"/>
              <w:ind w:firstLine="576"/>
              <w:jc w:val="both"/>
            </w:pPr>
            <w:r>
              <w:rPr>
                <w:rFonts w:ascii="仿宋_GB2312" w:hAnsi="仿宋_GB2312" w:cs="仿宋_GB2312" w:eastAsia="仿宋_GB2312"/>
                <w:sz w:val="18"/>
              </w:rPr>
              <w:t>在原有宣传片的基础上，根据未央区招商引资最新工作安排及高质量发展要求，进行补拍、完善、修改。宣传片时长预计3—8分钟。全面展示未央区的区位优势、产业基础、政策支持、发展潜力，突出区域核心竞争力，吸引优质企业关注并投资未央。宣传片不仅在未央区投资推介会上向企业客商、媒体等公众播放，也用于区委、区政府外出招商等各类招商活动和工作中的宣传推介。宣传片要求大气沉稳、制作精良、吸引力强。</w:t>
            </w:r>
          </w:p>
          <w:p>
            <w:pPr>
              <w:pStyle w:val="null3"/>
              <w:ind w:firstLine="576"/>
              <w:jc w:val="both"/>
            </w:pPr>
            <w:r>
              <w:rPr>
                <w:rFonts w:ascii="仿宋_GB2312" w:hAnsi="仿宋_GB2312" w:cs="仿宋_GB2312" w:eastAsia="仿宋_GB2312"/>
                <w:sz w:val="18"/>
              </w:rPr>
              <w:t>2、宣传片有关技术输出标准：</w:t>
            </w:r>
          </w:p>
          <w:tbl>
            <w:tblPr>
              <w:tblBorders>
                <w:top w:val="none" w:color="000000" w:sz="4"/>
                <w:left w:val="none" w:color="000000" w:sz="4"/>
                <w:bottom w:val="none" w:color="000000" w:sz="4"/>
                <w:right w:val="none" w:color="000000" w:sz="4"/>
                <w:insideH w:val="none"/>
                <w:insideV w:val="none"/>
              </w:tblBorders>
            </w:tblPr>
            <w:tblGrid>
              <w:gridCol w:w="437"/>
              <w:gridCol w:w="959"/>
              <w:gridCol w:w="1157"/>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标准项</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标准要求</w:t>
                  </w:r>
                </w:p>
              </w:tc>
              <w:tc>
                <w:tcPr>
                  <w:tcW w:type="dxa" w:w="1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描述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尺寸/分辨率</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4K</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保持画面比例为16:9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帧频</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不小于25fps</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保证画面流畅性和各平台播放适应性</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音频</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格式:MP3，立体声</w:t>
                  </w:r>
                </w:p>
                <w:p>
                  <w:pPr>
                    <w:pStyle w:val="null3"/>
                    <w:jc w:val="left"/>
                  </w:pPr>
                  <w:r>
                    <w:rPr>
                      <w:rFonts w:ascii="仿宋_GB2312" w:hAnsi="仿宋_GB2312" w:cs="仿宋_GB2312" w:eastAsia="仿宋_GB2312"/>
                      <w:sz w:val="18"/>
                    </w:rPr>
                    <w:t>音量＞0.6，＜0.8</w:t>
                  </w:r>
                </w:p>
                <w:p>
                  <w:pPr>
                    <w:pStyle w:val="null3"/>
                    <w:jc w:val="left"/>
                  </w:pPr>
                  <w:r>
                    <w:rPr>
                      <w:rFonts w:ascii="仿宋_GB2312" w:hAnsi="仿宋_GB2312" w:cs="仿宋_GB2312" w:eastAsia="仿宋_GB2312"/>
                      <w:sz w:val="18"/>
                    </w:rPr>
                    <w:t>内容：和脚本保持一致</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采用立体声双声道，音量大小保持一致，保证音频清晰无杂音。音频素材与脚本一致。无读错字漏字、无断句错误，无杂音，音色统一，语速与画面一致。</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背景音效</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清晰、切题、烘托主题</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字幕</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中英文双语字幕</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与脚本保持一致</w:t>
                  </w:r>
                </w:p>
              </w:tc>
            </w:tr>
          </w:tbl>
          <w:p>
            <w:pPr>
              <w:pStyle w:val="null3"/>
              <w:spacing w:before="150"/>
              <w:ind w:firstLine="576"/>
              <w:jc w:val="both"/>
            </w:pPr>
            <w:r>
              <w:rPr>
                <w:rFonts w:ascii="仿宋_GB2312" w:hAnsi="仿宋_GB2312" w:cs="仿宋_GB2312" w:eastAsia="仿宋_GB2312"/>
                <w:sz w:val="18"/>
              </w:rPr>
              <w:t>（三）2026年未央区丝博会专场推介会</w:t>
            </w:r>
          </w:p>
          <w:p>
            <w:pPr>
              <w:pStyle w:val="null3"/>
              <w:ind w:firstLine="576"/>
              <w:jc w:val="both"/>
            </w:pPr>
            <w:r>
              <w:rPr>
                <w:rFonts w:ascii="仿宋_GB2312" w:hAnsi="仿宋_GB2312" w:cs="仿宋_GB2312" w:eastAsia="仿宋_GB2312"/>
                <w:sz w:val="18"/>
              </w:rPr>
              <w:t>工作内容包括但不限于：活动策划设计执行、场地租赁、舞美搭建、氛围营造、摄影摄像等内容。活动策划执行要求组织有序、务实高效，助力提升区域招商引资影响力。</w:t>
            </w:r>
          </w:p>
          <w:p>
            <w:pPr>
              <w:pStyle w:val="null3"/>
              <w:spacing w:before="150"/>
              <w:ind w:firstLine="576"/>
              <w:jc w:val="both"/>
            </w:pPr>
            <w:r>
              <w:rPr>
                <w:rFonts w:ascii="仿宋_GB2312" w:hAnsi="仿宋_GB2312" w:cs="仿宋_GB2312" w:eastAsia="仿宋_GB2312"/>
                <w:sz w:val="18"/>
              </w:rPr>
              <w:t>（四）</w:t>
            </w:r>
            <w:r>
              <w:rPr>
                <w:rFonts w:ascii="仿宋_GB2312" w:hAnsi="仿宋_GB2312" w:cs="仿宋_GB2312" w:eastAsia="仿宋_GB2312"/>
                <w:sz w:val="18"/>
              </w:rPr>
              <w:t>2026年未央区其他投资推介</w:t>
            </w:r>
            <w:r>
              <w:rPr>
                <w:rFonts w:ascii="仿宋_GB2312" w:hAnsi="仿宋_GB2312" w:cs="仿宋_GB2312" w:eastAsia="仿宋_GB2312"/>
                <w:sz w:val="18"/>
              </w:rPr>
              <w:t>活动</w:t>
            </w:r>
          </w:p>
          <w:p>
            <w:pPr>
              <w:pStyle w:val="null3"/>
              <w:ind w:firstLine="576"/>
              <w:jc w:val="both"/>
            </w:pPr>
            <w:r>
              <w:rPr>
                <w:rFonts w:ascii="仿宋_GB2312" w:hAnsi="仿宋_GB2312" w:cs="仿宋_GB2312" w:eastAsia="仿宋_GB2312"/>
                <w:sz w:val="18"/>
              </w:rPr>
              <w:t>工作内容包括但不限于：活动策划设计执行、场地租赁、舞美搭建、氛围营造、摄影摄像等内容。活动策划执行要求组织有序、务实高效，助力提升区域招商引资影响力。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和行业现行相关标准以及采购人的要求。（进度要求：根据采购人工作定期推进要求。成果交付要求：招商引资工作资料要求内容准确无误、制作精良、庄重规范、便于宣传；宣传片要求大气沉稳、制作精良、吸引力强；活动策划执行要求组织有序、务实高效，助力提升区域招商引资影响力；以通过采购人验收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项目进度完成50%后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年度结算（视实际发生情况据实结算）验收合格后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1、违约责任：按《民法典》中的相关条款执行。 2、争议的解决：双方应首先通过友好协商解决，如果协商不成，任何一方可向采购人所在地有管辖权的人民法院提起诉讼。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 （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 2、履约验收：2.1、采购人自行验收。2.2、是否委托采购代理机构组织履约验收：否。3、本项目所属行业为租赁和商务服务业，中小微企业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4 、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5、事业单位参与投标时，可不提供财务状况报告、社会保障资金和税收缴纳证明；依法免税或不需要缴纳社会保障资金的供应商，应提供相应证明文件，证明其依法免税或不需要缴纳社会保障资金。6、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文的规定，本项目实行基本资格条件承诺制，供应商按要求提交《基本资格条件承诺函》。供应商应对承诺内容的真实性、合法性、有效性负责。经调查核实为虚假承诺的，视同为“提供虚假材料谋取中标、成交”的违法行为，依照《中华人民共和国政府采购法》等法律法规追究相应责任。 注：不提供《基本资格条件承诺函》的供应商需提交如下资格证明文件：①法人提供2024年度或2025年度经审计的财务报告（成立时间至提交投标文件截止时间不足一年的可提供成立后任意时段的资产负债表），或提交自2025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②法人提供2025年1月1日至今已缴纳的至少一个月的纳税证明或完税证明，纳税证明或完税证明上应有代收机构或税务机关的公章或业务专用章；其他组织和自然人提供自2025年1月1日以来至少一个月缴纳税收的凭据；依法免税的单位应提供相关证明材料。③提供2025年1月1日至今已缴存的至少一个月的社会保险参保缴费情况证明（社会保障资金缴存单据或社保机构开具的社会保险参保缴费情况证明等），依法不需要缴纳社会保障资金的单位应提供相关证明材料。④提供具有履行合同所必需的设备和专业技术能力的承诺（格式自拟）。⑤参加政府采购活动前3年内，在经营活动中没有重大违法记录的书面声明（格式自拟）。 供应商需在项目电子化交易系统中按要求填写《响应函》完成承诺并进行电子签章，且按照资格证明文件中的格式，提供清晰、完整、有效的相关证明材料。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符合竞争性磋商文件要求，且无遗漏。</w:t>
            </w:r>
          </w:p>
        </w:tc>
        <w:tc>
          <w:tcPr>
            <w:tcW w:type="dxa" w:w="1661"/>
          </w:tcPr>
          <w:p>
            <w:pPr>
              <w:pStyle w:val="null3"/>
            </w:pPr>
            <w:r>
              <w:rPr>
                <w:rFonts w:ascii="仿宋_GB2312" w:hAnsi="仿宋_GB2312" w:cs="仿宋_GB2312" w:eastAsia="仿宋_GB2312"/>
              </w:rPr>
              <w:t>响应文件封面 分项报价表.docx 商务要求偏离表.docx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完全响应磋商文件商务要求的各项条款，且没有出现法律法规或竞争性磋商文件规定的其他无效情形。</w:t>
            </w:r>
          </w:p>
        </w:tc>
        <w:tc>
          <w:tcPr>
            <w:tcW w:type="dxa" w:w="1661"/>
          </w:tcPr>
          <w:p>
            <w:pPr>
              <w:pStyle w:val="null3"/>
            </w:pPr>
            <w:r>
              <w:rPr>
                <w:rFonts w:ascii="仿宋_GB2312" w:hAnsi="仿宋_GB2312" w:cs="仿宋_GB2312" w:eastAsia="仿宋_GB2312"/>
              </w:rPr>
              <w:t>商务要求偏离表.docx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评审内容：针对本项目提出具体的招商引资工作资料策划设计制作印刷方案，内容包含：1、策划设计；2、制作印刷；3、资料发放。 说明：以上内容切合本项目实际情况及实施要求，内容全面详细、阐述条理清晰详尽，符合本项目采购需求，能保障本项目实施的得12分。 评审内容任意一项缺项扣4分。 评审内容任意一项每有一个缺陷扣1分，假设有n（n为假设数量）个缺陷，则扣n×1分。 （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评审内容：针对本项目提出具体的招商引资宣传片的修改制作方案，内容包含：1、宣传片策划；2、宣传片拍摄及制作；3、拍摄设备。 说明：以上内容切合本项目实际情况及实施要求，内容全面详细、阐述条理清晰详尽，符合本项目采购需求，能保障本项目实施的得12分。 评审内容任意一项缺项扣4分。 评审内容任意一项每有一个缺陷扣1分，假设有n（n为假设数量）个缺陷，则扣n×1分。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评审内容：针对本项目提出具体的丝博会专场推介会、其他投资推介活动服务方案，内容包含：1、活动策划设计；2、场地租赁；3、舞美搭建；4、会务组织布置。 说明：以上内容切合本项目实际情况及实施要求，内容全面详细、阐述条理清晰详尽，符合本项目采购需求，能保障本项目实施的得16分。 评审内容任意一项缺项扣4分。 评审内容任意一项每有一个缺陷扣1分，假设有n（n为假设数量）个缺陷，则扣n×1分。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人员配备及管理方案</w:t>
            </w:r>
          </w:p>
        </w:tc>
        <w:tc>
          <w:tcPr>
            <w:tcW w:type="dxa" w:w="2492"/>
          </w:tcPr>
          <w:p>
            <w:pPr>
              <w:pStyle w:val="null3"/>
            </w:pPr>
            <w:r>
              <w:rPr>
                <w:rFonts w:ascii="仿宋_GB2312" w:hAnsi="仿宋_GB2312" w:cs="仿宋_GB2312" w:eastAsia="仿宋_GB2312"/>
              </w:rPr>
              <w:t>评审内容：针对本项目提出具体的人员配备及管理方案，内容包含：1、服务实施组织机构及人员安排；2、人员岗位职责；3、人员管理制度。 说明：以上内容切合本项目实际情况及实施要求，内容全面详细、阐述条理清晰详尽，符合本项目采购需求，能保障本项目实施的得12分。 评审内容任意一项缺项扣4分。 评审内容任意一项每有一个缺陷扣1分，假设有n（n为假设数量）个缺陷，则扣n×1分。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评审内容：针对本项目提出具体的服务保障措施，内容包含：1、质量保障措施；2、安全保障措施；3、应急保障措施。 说明：以上内容切合本项目实际情况及实施要求，内容全面详细、阐述条理清晰详尽，符合本项目采购需求，能保障本项目实施的得12分。 评审内容任意一项缺项扣4分。 评审内容任意一项每有一个缺陷扣1分，假设有n（n为假设数量）个缺陷，则扣n×1分。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提供2023年1月1日以来类似项目的业绩证明文件，以合同扫描件为计分依据，每出具一份业绩证明文件得2分，满分6分。 注：以合同签订日期为准，提供完整合同复印件加盖公章，否则不予计分。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详见附件：采购合同模板（定稿）.docx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