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版本号：QHY-2026-ZB-00820260410001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未央区2025年中轻度污染耕地利用与修复项目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QHY-2026-ZB-008</w:t>
      </w:r>
      <w:r>
        <w:br/>
      </w:r>
      <w:r>
        <w:br/>
      </w:r>
      <w:r>
        <w:br/>
      </w:r>
    </w:p>
    <w:p>
      <w:pPr>
        <w:pStyle w:val="null3"/>
        <w:jc w:val="center"/>
        <w:outlineLvl w:val="2"/>
      </w:pPr>
      <w:r>
        <w:rPr>
          <w:rFonts w:ascii="仿宋_GB2312" w:hAnsi="仿宋_GB2312" w:cs="仿宋_GB2312" w:eastAsia="仿宋_GB2312"/>
          <w:sz w:val="28"/>
          <w:b/>
        </w:rPr>
        <w:t>西安市未央区农业科学技术推广中心</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西安市未央区农业科学技术推广中心</w:t>
      </w:r>
      <w:r>
        <w:rPr>
          <w:rFonts w:ascii="仿宋_GB2312" w:hAnsi="仿宋_GB2312" w:cs="仿宋_GB2312" w:eastAsia="仿宋_GB2312"/>
        </w:rPr>
        <w:t>委托，拟对</w:t>
      </w:r>
      <w:r>
        <w:rPr>
          <w:rFonts w:ascii="仿宋_GB2312" w:hAnsi="仿宋_GB2312" w:cs="仿宋_GB2312" w:eastAsia="仿宋_GB2312"/>
        </w:rPr>
        <w:t>未央区2025年中轻度污染耕地利用与修复项目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未央区2025年中轻度污染耕地利用与修复项目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未央区2025年中轻度污染耕地利用与修复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西安市未央区农业科学技术推广中心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西安市未央区方新村华迪大厦9楼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杨欣欣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13991852896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采购包1：505,300.00元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代理费不足捌仟元，按捌仟元收取，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西安市未央区农业科学技术推广中心</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西安市未央区农业科学技术推广中心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西安市未央区农业科学技术推广中心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未央区2025年中轻度污染耕地利用与修复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505,300.00</w:t>
      </w:r>
    </w:p>
    <w:p>
      <w:pPr>
        <w:pStyle w:val="null3"/>
      </w:pPr>
      <w:r>
        <w:rPr>
          <w:rFonts w:ascii="仿宋_GB2312" w:hAnsi="仿宋_GB2312" w:cs="仿宋_GB2312" w:eastAsia="仿宋_GB2312"/>
        </w:rPr>
        <w:t>采购包最高限价（元）: 505,300.00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未央区2025年中轻度污染耕地利用与修复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505,300.00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标的名称：未央区2025年中轻度污染耕地利用与修复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一、项目概述</w:t>
            </w:r>
          </w:p>
          <w:p>
            <w:pPr>
              <w:pStyle w:val="null3"/>
              <w:ind w:firstLine="482"/>
              <w:jc w:val="both"/>
            </w:pPr>
            <w:r>
              <w:rPr>
                <w:rFonts w:ascii="仿宋_GB2312" w:hAnsi="仿宋_GB2312" w:cs="仿宋_GB2312" w:eastAsia="仿宋_GB2312"/>
                <w:sz w:val="24"/>
              </w:rPr>
              <w:t>为全面贯彻落实《土壤污染防治行动计划》及</w:t>
            </w:r>
            <w:r>
              <w:rPr>
                <w:rFonts w:ascii="仿宋_GB2312" w:hAnsi="仿宋_GB2312" w:cs="仿宋_GB2312" w:eastAsia="仿宋_GB2312"/>
                <w:sz w:val="24"/>
              </w:rPr>
              <w:t>“净土保卫战”的目标任务，按照《农业农村部办公厅生态环境部办公厅关于进一步做好受污染耕地安全利用工作的通知》（农办科【2019】12号）、《陕西省受污染耕地防治工作方案》（陕农办发【2019】149号）以及农业农村部办公厅关于印发《轻中度污染耕地安全利用和治理修复推荐技术名录》的通知要求，切实保障未央区农产品质量安全与农业生态环境健康，促进农业绿色可持续发展，2026年继续推进未央区中轻度污染耕地土壤污染防治工作，特制定本项目方案。</w:t>
            </w:r>
          </w:p>
          <w:p>
            <w:pPr>
              <w:pStyle w:val="null3"/>
              <w:ind w:firstLine="482"/>
              <w:jc w:val="both"/>
            </w:pPr>
            <w:r>
              <w:rPr>
                <w:rFonts w:ascii="仿宋_GB2312" w:hAnsi="仿宋_GB2312" w:cs="仿宋_GB2312" w:eastAsia="仿宋_GB2312"/>
                <w:sz w:val="24"/>
              </w:rPr>
              <w:t>当前治理工作面临两大核心挑战：一是现有技术措施与复杂多样的</w:t>
            </w:r>
            <w:r>
              <w:rPr>
                <w:rFonts w:ascii="仿宋_GB2312" w:hAnsi="仿宋_GB2312" w:cs="仿宋_GB2312" w:eastAsia="仿宋_GB2312"/>
                <w:sz w:val="24"/>
              </w:rPr>
              <w:t>“土壤-作物”系统匹配精度不足；二是从“点状试验”到“全域推广”缺乏因地制宜的分类施策体系与长效保障机制。本项目旨在破解以上难题，在前期工作基础上，从“均质化治理”转向“差异化精准修复”，从“技术验证”转向“体系化构建与长效运行”，打造可复制、可推广的耕地安全利用“未央模式”。</w:t>
            </w:r>
          </w:p>
          <w:p>
            <w:pPr>
              <w:pStyle w:val="null3"/>
              <w:ind w:firstLine="482"/>
              <w:jc w:val="both"/>
            </w:pPr>
            <w:r>
              <w:rPr>
                <w:rFonts w:ascii="仿宋_GB2312" w:hAnsi="仿宋_GB2312" w:cs="仿宋_GB2312" w:eastAsia="仿宋_GB2312"/>
                <w:sz w:val="24"/>
                <w:b/>
              </w:rPr>
              <w:t>二、实施范围</w:t>
            </w:r>
          </w:p>
          <w:p>
            <w:pPr>
              <w:pStyle w:val="null3"/>
              <w:ind w:firstLine="482"/>
              <w:jc w:val="both"/>
            </w:pPr>
            <w:r>
              <w:rPr>
                <w:rFonts w:ascii="仿宋_GB2312" w:hAnsi="仿宋_GB2312" w:cs="仿宋_GB2312" w:eastAsia="仿宋_GB2312"/>
                <w:sz w:val="24"/>
              </w:rPr>
              <w:t>未央区下辖的三个主要街道，涉及</w:t>
            </w:r>
            <w:r>
              <w:rPr>
                <w:rFonts w:ascii="仿宋_GB2312" w:hAnsi="仿宋_GB2312" w:cs="仿宋_GB2312" w:eastAsia="仿宋_GB2312"/>
                <w:sz w:val="24"/>
              </w:rPr>
              <w:t>30个自然村，需完成中轻度污染耕地修复总面积</w:t>
            </w:r>
            <w:r>
              <w:rPr>
                <w:rFonts w:ascii="仿宋_GB2312" w:hAnsi="仿宋_GB2312" w:cs="仿宋_GB2312" w:eastAsia="仿宋_GB2312"/>
                <w:sz w:val="24"/>
              </w:rPr>
              <w:t>5187.57亩</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三、总体目标与具体考核指标</w:t>
            </w:r>
          </w:p>
          <w:p>
            <w:pPr>
              <w:pStyle w:val="null3"/>
              <w:ind w:firstLine="482"/>
              <w:jc w:val="both"/>
            </w:pPr>
            <w:r>
              <w:rPr>
                <w:rFonts w:ascii="仿宋_GB2312" w:hAnsi="仿宋_GB2312" w:cs="仿宋_GB2312" w:eastAsia="仿宋_GB2312"/>
                <w:sz w:val="24"/>
              </w:rPr>
              <w:t>（一）总体目标</w:t>
            </w:r>
          </w:p>
          <w:p>
            <w:pPr>
              <w:pStyle w:val="null3"/>
              <w:ind w:firstLine="482"/>
              <w:jc w:val="both"/>
            </w:pPr>
            <w:r>
              <w:rPr>
                <w:rFonts w:ascii="仿宋_GB2312" w:hAnsi="仿宋_GB2312" w:cs="仿宋_GB2312" w:eastAsia="仿宋_GB2312"/>
                <w:sz w:val="24"/>
              </w:rPr>
              <w:t>构建并示范一套以</w:t>
            </w:r>
            <w:r>
              <w:rPr>
                <w:rFonts w:ascii="仿宋_GB2312" w:hAnsi="仿宋_GB2312" w:cs="仿宋_GB2312" w:eastAsia="仿宋_GB2312"/>
                <w:sz w:val="24"/>
              </w:rPr>
              <w:t>“分区分类、精准施策、协同增效”为核心的未央区中轻度污染耕地安全利用与修复技术体系，实现治理精准化、产品安全化、技术本地化、机制长效化，保障5187.57亩受污染耕地的安全利用与产能可持续提升。</w:t>
            </w:r>
          </w:p>
          <w:p>
            <w:pPr>
              <w:pStyle w:val="null3"/>
              <w:ind w:firstLine="482"/>
              <w:jc w:val="both"/>
            </w:pPr>
            <w:r>
              <w:rPr>
                <w:rFonts w:ascii="仿宋_GB2312" w:hAnsi="仿宋_GB2312" w:cs="仿宋_GB2312" w:eastAsia="仿宋_GB2312"/>
                <w:sz w:val="24"/>
              </w:rPr>
              <w:t>（二）具体考核指标</w:t>
            </w:r>
          </w:p>
          <w:p>
            <w:pPr>
              <w:pStyle w:val="null3"/>
              <w:ind w:firstLine="482"/>
              <w:jc w:val="both"/>
            </w:pPr>
            <w:r>
              <w:rPr>
                <w:rFonts w:ascii="仿宋_GB2312" w:hAnsi="仿宋_GB2312" w:cs="仿宋_GB2312" w:eastAsia="仿宋_GB2312"/>
                <w:sz w:val="24"/>
              </w:rPr>
              <w:t>精准分类指标：绘制完成全区中轻度污染耕地</w:t>
            </w:r>
            <w:r>
              <w:rPr>
                <w:rFonts w:ascii="仿宋_GB2312" w:hAnsi="仿宋_GB2312" w:cs="仿宋_GB2312" w:eastAsia="仿宋_GB2312"/>
                <w:sz w:val="24"/>
              </w:rPr>
              <w:t>“污染等级-种植类型”双因子分区管理图1套，分类精度达90%以上。</w:t>
            </w:r>
          </w:p>
          <w:p>
            <w:pPr>
              <w:pStyle w:val="null3"/>
              <w:ind w:firstLine="482"/>
              <w:jc w:val="both"/>
            </w:pPr>
            <w:r>
              <w:rPr>
                <w:rFonts w:ascii="仿宋_GB2312" w:hAnsi="仿宋_GB2312" w:cs="仿宋_GB2312" w:eastAsia="仿宋_GB2312"/>
                <w:sz w:val="24"/>
              </w:rPr>
              <w:t>技术集成指标：针对不同</w:t>
            </w:r>
            <w:r>
              <w:rPr>
                <w:rFonts w:ascii="仿宋_GB2312" w:hAnsi="仿宋_GB2312" w:cs="仿宋_GB2312" w:eastAsia="仿宋_GB2312"/>
                <w:sz w:val="24"/>
              </w:rPr>
              <w:t>“污染-作物”组合，优化形成3-5套“低积累品种+定制化调理剂（叶面/土壤）+优化农艺”的协同技术包；结合各类安全利用分区耕地实际情况因地制宜调整种植结构。</w:t>
            </w:r>
          </w:p>
          <w:p>
            <w:pPr>
              <w:pStyle w:val="null3"/>
              <w:ind w:firstLine="482"/>
              <w:jc w:val="both"/>
            </w:pPr>
            <w:r>
              <w:rPr>
                <w:rFonts w:ascii="仿宋_GB2312" w:hAnsi="仿宋_GB2312" w:cs="仿宋_GB2312" w:eastAsia="仿宋_GB2312"/>
                <w:sz w:val="24"/>
              </w:rPr>
              <w:t>示范推广指标：建设核心对比示范区</w:t>
            </w:r>
            <w:r>
              <w:rPr>
                <w:rFonts w:ascii="仿宋_GB2312" w:hAnsi="仿宋_GB2312" w:cs="仿宋_GB2312" w:eastAsia="仿宋_GB2312"/>
                <w:sz w:val="24"/>
              </w:rPr>
              <w:t>≥30亩；预计全区完成叶面阻控/钝化技术推广≥2800亩，生物有机肥修复≥1000亩；技术辐射覆盖全区5187.57亩目标耕地。</w:t>
            </w:r>
          </w:p>
          <w:p>
            <w:pPr>
              <w:pStyle w:val="null3"/>
              <w:ind w:firstLine="482"/>
              <w:jc w:val="both"/>
            </w:pPr>
            <w:r>
              <w:rPr>
                <w:rFonts w:ascii="仿宋_GB2312" w:hAnsi="仿宋_GB2312" w:cs="仿宋_GB2312" w:eastAsia="仿宋_GB2312"/>
                <w:sz w:val="24"/>
              </w:rPr>
              <w:t>体系构建指标：编制《未央区中轻度污染耕地安全利用与修复技术指南（初稿）》</w:t>
            </w:r>
            <w:r>
              <w:rPr>
                <w:rFonts w:ascii="仿宋_GB2312" w:hAnsi="仿宋_GB2312" w:cs="仿宋_GB2312" w:eastAsia="仿宋_GB2312"/>
                <w:sz w:val="24"/>
              </w:rPr>
              <w:t>1部；培训基层技术人员与种植大户不少于300人次。</w:t>
            </w:r>
          </w:p>
          <w:p>
            <w:pPr>
              <w:pStyle w:val="null3"/>
              <w:ind w:firstLine="482"/>
              <w:jc w:val="both"/>
            </w:pPr>
            <w:r>
              <w:rPr>
                <w:rFonts w:ascii="仿宋_GB2312" w:hAnsi="仿宋_GB2312" w:cs="仿宋_GB2312" w:eastAsia="仿宋_GB2312"/>
                <w:sz w:val="24"/>
                <w:b/>
              </w:rPr>
              <w:t>四、核心特色与创新亮点</w:t>
            </w:r>
          </w:p>
          <w:p>
            <w:pPr>
              <w:pStyle w:val="null3"/>
              <w:ind w:firstLine="482"/>
              <w:jc w:val="both"/>
            </w:pPr>
            <w:r>
              <w:rPr>
                <w:rFonts w:ascii="仿宋_GB2312" w:hAnsi="仿宋_GB2312" w:cs="仿宋_GB2312" w:eastAsia="仿宋_GB2312"/>
                <w:sz w:val="24"/>
              </w:rPr>
              <w:t>理念创新：从传统</w:t>
            </w:r>
            <w:r>
              <w:rPr>
                <w:rFonts w:ascii="仿宋_GB2312" w:hAnsi="仿宋_GB2312" w:cs="仿宋_GB2312" w:eastAsia="仿宋_GB2312"/>
                <w:sz w:val="24"/>
              </w:rPr>
              <w:t>“单点治理、单一技术、短期验证”的修复方式到“分区分类、复合技术、全域推广”的系统治理模式，实现从治理单一地块到优化区域耕地利用格局的升级。</w:t>
            </w:r>
          </w:p>
          <w:p>
            <w:pPr>
              <w:pStyle w:val="null3"/>
              <w:ind w:firstLine="482"/>
              <w:jc w:val="both"/>
            </w:pPr>
            <w:r>
              <w:rPr>
                <w:rFonts w:ascii="仿宋_GB2312" w:hAnsi="仿宋_GB2312" w:cs="仿宋_GB2312" w:eastAsia="仿宋_GB2312"/>
                <w:sz w:val="24"/>
              </w:rPr>
              <w:t>技术创新：从</w:t>
            </w:r>
            <w:r>
              <w:rPr>
                <w:rFonts w:ascii="仿宋_GB2312" w:hAnsi="仿宋_GB2312" w:cs="仿宋_GB2312" w:eastAsia="仿宋_GB2312"/>
                <w:sz w:val="24"/>
              </w:rPr>
              <w:t>“技术堆砌”到“协同优化”。重点研发“叶面阻控-土壤调理-农艺调控”多技术协同的定制化技术，通过技术间的增效作用，实现“1+1&gt;2”的修复效果与成本控制。</w:t>
            </w:r>
          </w:p>
          <w:p>
            <w:pPr>
              <w:pStyle w:val="null3"/>
              <w:ind w:firstLine="482"/>
              <w:jc w:val="both"/>
            </w:pPr>
            <w:r>
              <w:rPr>
                <w:rFonts w:ascii="仿宋_GB2312" w:hAnsi="仿宋_GB2312" w:cs="仿宋_GB2312" w:eastAsia="仿宋_GB2312"/>
                <w:sz w:val="24"/>
              </w:rPr>
              <w:t>模式创新：从</w:t>
            </w:r>
            <w:r>
              <w:rPr>
                <w:rFonts w:ascii="仿宋_GB2312" w:hAnsi="仿宋_GB2312" w:cs="仿宋_GB2312" w:eastAsia="仿宋_GB2312"/>
                <w:sz w:val="24"/>
              </w:rPr>
              <w:t>“项目驱动”到“机制保障”。创新构建“技术指南标准化、示范网络体系化、基层培训常态化、政策建议精准化”的闭环成果转化框架，形成“可持续运行、可动态更新、可复制推广、可监管考核”的长效治理体系。</w:t>
            </w:r>
          </w:p>
          <w:p>
            <w:pPr>
              <w:pStyle w:val="null3"/>
              <w:ind w:firstLine="482"/>
              <w:jc w:val="both"/>
            </w:pPr>
            <w:r>
              <w:rPr>
                <w:rFonts w:ascii="仿宋_GB2312" w:hAnsi="仿宋_GB2312" w:cs="仿宋_GB2312" w:eastAsia="仿宋_GB2312"/>
                <w:sz w:val="24"/>
                <w:b/>
              </w:rPr>
              <w:t>五、项目实施内容</w:t>
            </w:r>
          </w:p>
          <w:p>
            <w:pPr>
              <w:pStyle w:val="null3"/>
              <w:ind w:firstLine="482"/>
              <w:jc w:val="both"/>
            </w:pPr>
            <w:r>
              <w:rPr>
                <w:rFonts w:ascii="仿宋_GB2312" w:hAnsi="仿宋_GB2312" w:cs="仿宋_GB2312" w:eastAsia="仿宋_GB2312"/>
                <w:sz w:val="24"/>
              </w:rPr>
              <w:t>（一）第一阶段：本底调查与分类定级</w:t>
            </w:r>
          </w:p>
          <w:p>
            <w:pPr>
              <w:pStyle w:val="null3"/>
              <w:ind w:firstLine="482"/>
              <w:jc w:val="both"/>
            </w:pPr>
            <w:r>
              <w:rPr>
                <w:rFonts w:ascii="仿宋_GB2312" w:hAnsi="仿宋_GB2312" w:cs="仿宋_GB2312" w:eastAsia="仿宋_GB2312"/>
                <w:sz w:val="24"/>
              </w:rPr>
              <w:t>样点调查与污染识别：依据未央区耕地分布及历史数据，采集</w:t>
            </w:r>
            <w:r>
              <w:rPr>
                <w:rFonts w:ascii="仿宋_GB2312" w:hAnsi="仿宋_GB2312" w:cs="仿宋_GB2312" w:eastAsia="仿宋_GB2312"/>
                <w:sz w:val="24"/>
              </w:rPr>
              <w:t>25-35个代表性点位的农产品与土壤样品。重点检测土壤及作物根、茎、叶重金属含量，识别区域污染类别与分布特征。</w:t>
            </w:r>
          </w:p>
          <w:p>
            <w:pPr>
              <w:pStyle w:val="null3"/>
              <w:ind w:firstLine="482"/>
              <w:jc w:val="both"/>
            </w:pPr>
            <w:r>
              <w:rPr>
                <w:rFonts w:ascii="仿宋_GB2312" w:hAnsi="仿宋_GB2312" w:cs="仿宋_GB2312" w:eastAsia="仿宋_GB2312"/>
                <w:sz w:val="24"/>
              </w:rPr>
              <w:t>耕地类型划分与制图：依据污染程度，将安全利用类耕地精细划分为无、轻微、临界三类。结合作物类型，进一步细分蔬菜、水果管控单元。明确区域内风险较高的</w:t>
            </w:r>
            <w:r>
              <w:rPr>
                <w:rFonts w:ascii="仿宋_GB2312" w:hAnsi="仿宋_GB2312" w:cs="仿宋_GB2312" w:eastAsia="仿宋_GB2312"/>
                <w:sz w:val="24"/>
              </w:rPr>
              <w:t>“污染元素-农作物”组合，绘制“未央区中轻度污染耕地分类治理分区图”，实现“一图总览、按类施策”。</w:t>
            </w:r>
          </w:p>
          <w:p>
            <w:pPr>
              <w:pStyle w:val="null3"/>
              <w:ind w:firstLine="482"/>
              <w:jc w:val="both"/>
            </w:pPr>
            <w:r>
              <w:rPr>
                <w:rFonts w:ascii="仿宋_GB2312" w:hAnsi="仿宋_GB2312" w:cs="仿宋_GB2312" w:eastAsia="仿宋_GB2312"/>
                <w:sz w:val="24"/>
              </w:rPr>
              <w:t>（二）第二阶段：技术集成优化与核心示范</w:t>
            </w:r>
          </w:p>
          <w:p>
            <w:pPr>
              <w:pStyle w:val="null3"/>
              <w:ind w:firstLine="482"/>
              <w:jc w:val="both"/>
            </w:pPr>
            <w:r>
              <w:rPr>
                <w:rFonts w:ascii="仿宋_GB2312" w:hAnsi="仿宋_GB2312" w:cs="仿宋_GB2312" w:eastAsia="仿宋_GB2312"/>
                <w:sz w:val="24"/>
              </w:rPr>
              <w:t>分类技术田间试验比选：（</w:t>
            </w:r>
            <w:r>
              <w:rPr>
                <w:rFonts w:ascii="仿宋_GB2312" w:hAnsi="仿宋_GB2312" w:cs="仿宋_GB2312" w:eastAsia="仿宋_GB2312"/>
                <w:sz w:val="24"/>
              </w:rPr>
              <w:t>1）筛选适合未央区的叶菜、根茎菜及水果类低积累品种。选取代表性试验田，设立4类技术田间对比区：A. 单一低积累品种区；B. 低积累品种+叶面阻控区；C. 低积累品种+叶面阻控+生物有机肥协同区；D. 低积累品种+叶面阻控+钝化剂协同区。（2）依据耕地分区试验结果，对比以上技术的修复效果、经济可行性与操作便捷性，构建适合本地的“中轻度污染耕地精准分类修复技术体系”。</w:t>
            </w:r>
          </w:p>
          <w:p>
            <w:pPr>
              <w:pStyle w:val="null3"/>
              <w:ind w:firstLine="482"/>
              <w:jc w:val="both"/>
            </w:pPr>
            <w:r>
              <w:rPr>
                <w:rFonts w:ascii="仿宋_GB2312" w:hAnsi="仿宋_GB2312" w:cs="仿宋_GB2312" w:eastAsia="仿宋_GB2312"/>
                <w:sz w:val="24"/>
              </w:rPr>
              <w:t>核心示范区建设与展示：在</w:t>
            </w:r>
            <w:r>
              <w:rPr>
                <w:rFonts w:ascii="仿宋_GB2312" w:hAnsi="仿宋_GB2312" w:cs="仿宋_GB2312" w:eastAsia="仿宋_GB2312"/>
                <w:sz w:val="24"/>
              </w:rPr>
              <w:t>2-3个代表性区域，建设总面积≥30亩的修复技术示范区。设立标识牌，清晰展示技术原理、投入产出，直观对比“修复前后”及“不同技术”的治理成效，形成治理样板。</w:t>
            </w:r>
          </w:p>
          <w:p>
            <w:pPr>
              <w:pStyle w:val="null3"/>
              <w:ind w:firstLine="482"/>
              <w:jc w:val="both"/>
            </w:pPr>
            <w:r>
              <w:rPr>
                <w:rFonts w:ascii="仿宋_GB2312" w:hAnsi="仿宋_GB2312" w:cs="仿宋_GB2312" w:eastAsia="仿宋_GB2312"/>
                <w:sz w:val="24"/>
              </w:rPr>
              <w:t>（三）第三阶段：全域推广与效果评估</w:t>
            </w:r>
          </w:p>
          <w:p>
            <w:pPr>
              <w:pStyle w:val="null3"/>
              <w:ind w:firstLine="482"/>
              <w:jc w:val="both"/>
            </w:pPr>
            <w:r>
              <w:rPr>
                <w:rFonts w:ascii="仿宋_GB2312" w:hAnsi="仿宋_GB2312" w:cs="仿宋_GB2312" w:eastAsia="仿宋_GB2312"/>
                <w:sz w:val="24"/>
              </w:rPr>
              <w:t>分类技术全域推广：依据分区图和技术优化成果，在全区</w:t>
            </w:r>
            <w:r>
              <w:rPr>
                <w:rFonts w:ascii="仿宋_GB2312" w:hAnsi="仿宋_GB2312" w:cs="仿宋_GB2312" w:eastAsia="仿宋_GB2312"/>
                <w:sz w:val="24"/>
              </w:rPr>
              <w:t>5187.57亩中轻度污染耕地全面实施分类治理。重点推广叶面阻隔/钝化技术不少于2800亩，生物有机肥技术不少于1000亩，严格落实分区分类管控措施，实现土壤修复与安全利用全覆盖。</w:t>
            </w:r>
          </w:p>
          <w:p>
            <w:pPr>
              <w:pStyle w:val="null3"/>
              <w:ind w:firstLine="482"/>
              <w:jc w:val="both"/>
            </w:pPr>
            <w:r>
              <w:rPr>
                <w:rFonts w:ascii="仿宋_GB2312" w:hAnsi="仿宋_GB2312" w:cs="仿宋_GB2312" w:eastAsia="仿宋_GB2312"/>
                <w:sz w:val="24"/>
              </w:rPr>
              <w:t>全链条动态监测：在核心区及推广区布设固定点位，在作物关键生长期及收获期定期监测。构建</w:t>
            </w:r>
            <w:r>
              <w:rPr>
                <w:rFonts w:ascii="仿宋_GB2312" w:hAnsi="仿宋_GB2312" w:cs="仿宋_GB2312" w:eastAsia="仿宋_GB2312"/>
                <w:sz w:val="24"/>
              </w:rPr>
              <w:t>“土壤-作物-微生物”多维监测体系，重点监测土壤重金属形态与理化性质、农产品品质与耕地微生态情况，系统评估技术体系的修复效果与生态安全。</w:t>
            </w:r>
          </w:p>
          <w:p>
            <w:pPr>
              <w:pStyle w:val="null3"/>
              <w:ind w:firstLine="482"/>
              <w:jc w:val="both"/>
            </w:pPr>
            <w:r>
              <w:rPr>
                <w:rFonts w:ascii="仿宋_GB2312" w:hAnsi="仿宋_GB2312" w:cs="仿宋_GB2312" w:eastAsia="仿宋_GB2312"/>
                <w:sz w:val="24"/>
              </w:rPr>
              <w:t>在完成低积累品种筛选及</w:t>
            </w:r>
            <w:r>
              <w:rPr>
                <w:rFonts w:ascii="仿宋_GB2312" w:hAnsi="仿宋_GB2312" w:cs="仿宋_GB2312" w:eastAsia="仿宋_GB2312"/>
                <w:sz w:val="24"/>
              </w:rPr>
              <w:t>“污染等级—种植类型”双因子分区划定的基础上，结合各类安全利用分区耕地实际情况，根据不同区域土壤污染特征、作物富集差异及农产品检测结果，提出适合未央区种植结构类型，以进一步降低农产品质量安全风险，提升耕地安全利用水平。</w:t>
            </w:r>
          </w:p>
          <w:p>
            <w:pPr>
              <w:pStyle w:val="null3"/>
              <w:ind w:firstLine="482"/>
              <w:jc w:val="both"/>
            </w:pPr>
            <w:r>
              <w:rPr>
                <w:rFonts w:ascii="仿宋_GB2312" w:hAnsi="仿宋_GB2312" w:cs="仿宋_GB2312" w:eastAsia="仿宋_GB2312"/>
                <w:sz w:val="24"/>
              </w:rPr>
              <w:t>（四）第四阶段：体系构建与成果固化</w:t>
            </w:r>
          </w:p>
          <w:p>
            <w:pPr>
              <w:pStyle w:val="null3"/>
              <w:ind w:firstLine="482"/>
              <w:jc w:val="both"/>
            </w:pPr>
            <w:r>
              <w:rPr>
                <w:rFonts w:ascii="仿宋_GB2312" w:hAnsi="仿宋_GB2312" w:cs="仿宋_GB2312" w:eastAsia="仿宋_GB2312"/>
                <w:sz w:val="24"/>
              </w:rPr>
              <w:t>成果标准化与指南编制：基于三年连续实测数据，编制本土化《未央区中轻度污染耕地安全利用与修复技术指南（初稿）》，为区域耕地环境质量分类管理提供科学依据与技术参考。</w:t>
            </w:r>
          </w:p>
          <w:p>
            <w:pPr>
              <w:pStyle w:val="null3"/>
              <w:ind w:firstLine="482"/>
              <w:jc w:val="both"/>
            </w:pPr>
            <w:r>
              <w:rPr>
                <w:rFonts w:ascii="仿宋_GB2312" w:hAnsi="仿宋_GB2312" w:cs="仿宋_GB2312" w:eastAsia="仿宋_GB2312"/>
                <w:sz w:val="24"/>
              </w:rPr>
              <w:t>技术培训与现场指导：面向农技人员、合作社及种植大户，构建</w:t>
            </w:r>
            <w:r>
              <w:rPr>
                <w:rFonts w:ascii="仿宋_GB2312" w:hAnsi="仿宋_GB2312" w:cs="仿宋_GB2312" w:eastAsia="仿宋_GB2312"/>
                <w:sz w:val="24"/>
              </w:rPr>
              <w:t>“现场培训+操作指导”配套体系，依托“田间课堂”开展实操指导，培育本土化技术骨干；同步配套图文《操作手册》及短视频，将关键技术转化为农户“看得懂、用得上”的作业规程。</w:t>
            </w:r>
          </w:p>
          <w:p>
            <w:pPr>
              <w:pStyle w:val="null3"/>
              <w:ind w:firstLine="482"/>
              <w:jc w:val="both"/>
            </w:pPr>
            <w:r>
              <w:rPr>
                <w:rFonts w:ascii="仿宋_GB2312" w:hAnsi="仿宋_GB2312" w:cs="仿宋_GB2312" w:eastAsia="仿宋_GB2312"/>
                <w:sz w:val="24"/>
              </w:rPr>
              <w:t>长效管理政策建议：从耕地土壤环境质量动态监测、修复效果评估到长期跟踪监测等方面，形成可落地的政策建议报告，为区域耕地可持续安全利用提供制度保障。</w:t>
            </w:r>
          </w:p>
          <w:p>
            <w:pPr>
              <w:pStyle w:val="null3"/>
              <w:ind w:firstLine="482"/>
              <w:jc w:val="both"/>
            </w:pPr>
            <w:r>
              <w:rPr>
                <w:rFonts w:ascii="仿宋_GB2312" w:hAnsi="仿宋_GB2312" w:cs="仿宋_GB2312" w:eastAsia="仿宋_GB2312"/>
                <w:sz w:val="24"/>
                <w:b/>
              </w:rPr>
              <w:t>六、商务要求</w:t>
            </w:r>
          </w:p>
          <w:p>
            <w:pPr>
              <w:pStyle w:val="null3"/>
              <w:ind w:firstLine="482"/>
              <w:jc w:val="both"/>
            </w:pPr>
            <w:r>
              <w:rPr>
                <w:rFonts w:ascii="仿宋_GB2312" w:hAnsi="仿宋_GB2312" w:cs="仿宋_GB2312" w:eastAsia="仿宋_GB2312"/>
                <w:sz w:val="24"/>
              </w:rPr>
              <w:t>（一）服务期限</w:t>
            </w:r>
          </w:p>
          <w:p>
            <w:pPr>
              <w:pStyle w:val="null3"/>
              <w:ind w:firstLine="482"/>
              <w:jc w:val="both"/>
            </w:pPr>
            <w:r>
              <w:rPr>
                <w:rFonts w:ascii="仿宋_GB2312" w:hAnsi="仿宋_GB2312" w:cs="仿宋_GB2312" w:eastAsia="仿宋_GB2312"/>
                <w:sz w:val="24"/>
              </w:rPr>
              <w:t>自合同签订之日起一年</w:t>
            </w:r>
          </w:p>
          <w:p>
            <w:pPr>
              <w:pStyle w:val="null3"/>
              <w:ind w:firstLine="482"/>
              <w:jc w:val="both"/>
            </w:pPr>
            <w:r>
              <w:rPr>
                <w:rFonts w:ascii="仿宋_GB2312" w:hAnsi="仿宋_GB2312" w:cs="仿宋_GB2312" w:eastAsia="仿宋_GB2312"/>
                <w:sz w:val="24"/>
              </w:rPr>
              <w:t>（二）款项结算</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1）自合同签订之日起，达到付款条件起7日内支付合同总金额的40%。</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2）项目实施完成，申请验收，成果交付验收合格后，达到付款条件起30日内支付合同总金额的60%。</w:t>
            </w:r>
          </w:p>
          <w:p>
            <w:pPr>
              <w:pStyle w:val="null3"/>
              <w:ind w:firstLine="482"/>
              <w:jc w:val="both"/>
            </w:pPr>
            <w:r>
              <w:rPr>
                <w:rFonts w:ascii="仿宋_GB2312" w:hAnsi="仿宋_GB2312" w:cs="仿宋_GB2312" w:eastAsia="仿宋_GB2312"/>
                <w:sz w:val="24"/>
                <w:b/>
              </w:rPr>
              <w:t>七、其他</w:t>
            </w:r>
          </w:p>
          <w:p>
            <w:pPr>
              <w:pStyle w:val="null3"/>
              <w:ind w:firstLine="480"/>
              <w:jc w:val="both"/>
            </w:pPr>
            <w:r>
              <w:rPr>
                <w:rFonts w:ascii="仿宋_GB2312" w:hAnsi="仿宋_GB2312" w:cs="仿宋_GB2312" w:eastAsia="仿宋_GB2312"/>
                <w:sz w:val="24"/>
              </w:rPr>
              <w:t>（一）成果交付要求</w:t>
            </w:r>
          </w:p>
          <w:p>
            <w:pPr>
              <w:pStyle w:val="null3"/>
              <w:ind w:firstLine="480"/>
              <w:jc w:val="both"/>
            </w:pPr>
            <w:r>
              <w:rPr>
                <w:rFonts w:ascii="仿宋_GB2312" w:hAnsi="仿宋_GB2312" w:cs="仿宋_GB2312" w:eastAsia="仿宋_GB2312"/>
                <w:sz w:val="24"/>
              </w:rPr>
              <w:t>供应商须完成本项目全部工作任务，提交包括但不限于：《未央区中轻度污染耕地安全利用与修复技术指南》、治理效果评估报告、政策建议报告等全套成果，确保成果真实规范、通过采购人组织的结题验收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（二）质量验收标准或规范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1）服务期满后按照成交供应商所提供的资料及数据进行验收；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2）最终验收：自合同签订之日起至完成全部项目内容，需按照采购人确定的时间完成并验收合格，验收合格后，填写验收单。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3）验收和评价方式：</w:t>
            </w:r>
          </w:p>
          <w:p>
            <w:pPr>
              <w:pStyle w:val="null3"/>
              <w:ind w:firstLine="480"/>
              <w:jc w:val="both"/>
            </w:pPr>
            <w:r>
              <w:rPr>
                <w:rFonts w:ascii="仿宋_GB2312" w:hAnsi="仿宋_GB2312" w:cs="仿宋_GB2312" w:eastAsia="仿宋_GB2312"/>
                <w:sz w:val="24"/>
              </w:rPr>
              <w:t>3.1 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pPr>
              <w:pStyle w:val="null3"/>
              <w:ind w:firstLine="480"/>
              <w:jc w:val="both"/>
            </w:pPr>
            <w:r>
              <w:rPr>
                <w:rFonts w:ascii="仿宋_GB2312" w:hAnsi="仿宋_GB2312" w:cs="仿宋_GB2312" w:eastAsia="仿宋_GB2312"/>
                <w:sz w:val="24"/>
              </w:rPr>
              <w:t>3.2 若发现乙方有弄虚作假的，及在项目实施阶段故意或随意夸大服务，本项目合同解除，乙方赔偿甲方相应的损失。</w:t>
            </w:r>
          </w:p>
          <w:p>
            <w:pPr>
              <w:pStyle w:val="null3"/>
              <w:ind w:firstLine="480"/>
              <w:jc w:val="both"/>
            </w:pPr>
            <w:r>
              <w:rPr>
                <w:rFonts w:ascii="仿宋_GB2312" w:hAnsi="仿宋_GB2312" w:cs="仿宋_GB2312" w:eastAsia="仿宋_GB2312"/>
                <w:sz w:val="24"/>
              </w:rPr>
              <w:t>3.3 验收标准：按磋商文件、磋商响应文件等服务指标进行逐项验收，各项指标均应符合验收标准及要求。</w:t>
            </w:r>
          </w:p>
          <w:p>
            <w:pPr>
              <w:pStyle w:val="null3"/>
              <w:ind w:firstLine="480"/>
              <w:jc w:val="both"/>
            </w:pPr>
            <w:r>
              <w:rPr>
                <w:rFonts w:ascii="仿宋_GB2312" w:hAnsi="仿宋_GB2312" w:cs="仿宋_GB2312" w:eastAsia="仿宋_GB2312"/>
                <w:sz w:val="24"/>
              </w:rPr>
              <w:t>3.4 验收合格后，填写验收单，双方盖章、签字生效。</w:t>
            </w:r>
          </w:p>
          <w:p>
            <w:pPr>
              <w:pStyle w:val="null3"/>
              <w:ind w:firstLine="480"/>
              <w:jc w:val="both"/>
            </w:pPr>
            <w:r>
              <w:rPr>
                <w:rFonts w:ascii="仿宋_GB2312" w:hAnsi="仿宋_GB2312" w:cs="仿宋_GB2312" w:eastAsia="仿宋_GB2312"/>
                <w:sz w:val="24"/>
              </w:rPr>
              <w:t>3.5 验收依据：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1）合同文本。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2）磋商响应文件、磋商文件、澄清函。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3）国家和行业制定的相应的标准和规范。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未央区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项目实施完成，申请验收，成果交付验收合格后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1.有效的主体资格证明：具有独立承担民事责任能力的法人、其他组织或自然人并出具合法有效的营业执照或事业单位法人证书等国家规定的相关证明，自然人参与的提供其身份证明。2.基本资格条件：提供《基本资格条件承诺函》，供应商应对承诺内容的真实性、合法性、有效性负责。若虚假承诺的，视同为“提供虚假材料谋取中标、成交”的违法行为，根据《中华人民共和国政府采购法》等法律法规追究相应责任。备注：不提供《基本资格条件承诺函》的供应商需提交如下证明材料：a.财务状况证明：提供2024年度或2025年经审计的财务报告（成立时间至提交磋商响应文件截止时间不足一年的可提供成立后任意时段的资产负债表），或其基本存款账户开户银行出具的资信证明及基本存款账户开户许可证（基本账户信息表）。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c.税收缴纳证明：提供磋商响应文件递交截止时间前一年内已缴纳的至少一个月的纳税证明或完税证明，依法免税的单位应提供相关证明材料。d.参加政府采购活动前三年内，在经营活动中没有重大违法记录的书面声明。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供应商认为有必要说明的其它内容或资料.docx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试验方案</w:t>
            </w:r>
          </w:p>
        </w:tc>
        <w:tc>
          <w:tcPr>
            <w:tcW w:type="dxa" w:w="2492"/>
          </w:tcPr>
          <w:p>
            <w:pPr>
              <w:pStyle w:val="null3"/>
            </w:pPr>
            <w:r>
              <w:rPr>
                <w:rFonts w:ascii="仿宋_GB2312" w:hAnsi="仿宋_GB2312" w:cs="仿宋_GB2312" w:eastAsia="仿宋_GB2312"/>
              </w:rPr>
              <w:t>根据供应商提供的①政策法规解读；②试验措施的依据；③与当地农业生产现状的适宜性；④试验技术的可操作性和可复制推广性。 评审标准：每一项内容描述详细，切实可行符合项目实际内容得4分，合计得16分。内容①～④项任意一项缺项扣4分，扣完为止；内容①～④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根据供应商提供的①治理目标；②目标实施方案；③实施进度计划；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根据供应商提供的①项目实施质量保证措施；②检测质量保证措施；③项目成果质量保证措施。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有相关专业技术培训证书和被市级及以上单位聘任为相关专家的计2分，未提供不得分；2、拟派项目技术负责人具有相关专业高级及以上职称的计2分，未提供不得分；3、拟派项目质量负责人具有相关专业高级及以上职称的计2分，未提供不得分；4、拟派项目组主要人员（不含上述人员）中，具有相关专业高级及以上职称的人员，每提供1人计2分，具有相关专业中级及以上职称的人员，每提供1人计1分，满分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根据供应商提供①运输工具；②人员素质；③管理水平；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需具备农业土壤实验分析相关设备，每提供一项设备计1分，共3分。2、供应商需提供符合项目需求的野外实验或检测系统设备（需提供系统设备的购置发票或采购合同，每提供一个得1分，共计3分，不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根据供应商提供的①服务内容；②服务方式；③服务响应时间；④服务团队配置；⑤服务管理及质量保证。 评审标准：每一项内容描述详细，切实可行符合项目实际内容得1分，合计得5分。内容①～⑤项任意一项缺项扣1分，扣完为止；内容①～⑤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重点、难点分析及应急措施</w:t>
            </w:r>
          </w:p>
        </w:tc>
        <w:tc>
          <w:tcPr>
            <w:tcW w:type="dxa" w:w="2492"/>
          </w:tcPr>
          <w:p>
            <w:pPr>
              <w:pStyle w:val="null3"/>
            </w:pPr>
            <w:r>
              <w:rPr>
                <w:rFonts w:ascii="仿宋_GB2312" w:hAnsi="仿宋_GB2312" w:cs="仿宋_GB2312" w:eastAsia="仿宋_GB2312"/>
              </w:rPr>
              <w:t>根据供应商提供的①重点分析；②难点分析；③合理化建议；④应急措施。 评审标准：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