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版本号：THXZB2026-101520260416001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THXZB2026-1015</w:t>
      </w:r>
      <w:r>
        <w:br/>
      </w:r>
      <w:r>
        <w:br/>
      </w:r>
      <w:r>
        <w:br/>
      </w:r>
    </w:p>
    <w:p>
      <w:pPr>
        <w:pStyle w:val="null3"/>
        <w:jc w:val="center"/>
        <w:outlineLvl w:val="2"/>
      </w:pPr>
      <w:r>
        <w:rPr>
          <w:rFonts w:ascii="仿宋_GB2312" w:hAnsi="仿宋_GB2312" w:cs="仿宋_GB2312" w:eastAsia="仿宋_GB2312"/>
          <w:sz w:val="28"/>
          <w:b/>
        </w:rPr>
        <w:t>西安市未央区教育局</w:t>
      </w:r>
    </w:p>
    <w:p>
      <w:pPr>
        <w:pStyle w:val="null3"/>
        <w:jc w:val="center"/>
        <w:outlineLvl w:val="2"/>
      </w:pPr>
      <w:r>
        <w:rPr>
          <w:rFonts w:ascii="仿宋_GB2312" w:hAnsi="仿宋_GB2312" w:cs="仿宋_GB2312" w:eastAsia="仿宋_GB2312"/>
          <w:sz w:val="28"/>
          <w:b/>
        </w:rPr>
        <w:t>陕西天鸿信项目管理有限公司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陕西天鸿信项目管理有限公司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西安市未央区教育局</w:t>
      </w:r>
      <w:r>
        <w:rPr>
          <w:rFonts w:ascii="仿宋_GB2312" w:hAnsi="仿宋_GB2312" w:cs="仿宋_GB2312" w:eastAsia="仿宋_GB2312"/>
        </w:rPr>
        <w:t>委托，拟对</w:t>
      </w:r>
      <w:r>
        <w:rPr>
          <w:rFonts w:ascii="仿宋_GB2312" w:hAnsi="仿宋_GB2312" w:cs="仿宋_GB2312" w:eastAsia="仿宋_GB2312"/>
        </w:rPr>
        <w:t>食堂食材采购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THXZB2026-1015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食堂食材采购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食堂食材采购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2、企业资质：供应商是生产厂家的须提供食品生产许可证，供应商为经销商的须提供有效的食品经营许可证；</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陕西省西安市未央区汇文南路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029-86239786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陕西天鸿信项目管理有限公司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西安市雁塔区雁南二路西京公司西京科创园3号楼25楼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王天鹏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18192006549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户名：陕西天鸿信项目管理有限公司 开户行：中国银行西安中海国际社区支行 账号：102438598215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西安市未央区教育局</w:t>
      </w:r>
      <w:r>
        <w:rPr>
          <w:rFonts w:ascii="仿宋_GB2312" w:hAnsi="仿宋_GB2312" w:cs="仿宋_GB2312" w:eastAsia="仿宋_GB2312"/>
        </w:rPr>
        <w:t>和</w:t>
      </w:r>
      <w:r>
        <w:rPr>
          <w:rFonts w:ascii="仿宋_GB2312" w:hAnsi="仿宋_GB2312" w:cs="仿宋_GB2312" w:eastAsia="仿宋_GB2312"/>
        </w:rPr>
        <w:t>陕西天鸿信项目管理有限公司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西安市未央区教育局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陕西天鸿信项目管理有限公司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陕西天鸿信项目管理有限公司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陕西天鸿信项目管理有限公司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联系人：王天鹏</w:t>
      </w:r>
    </w:p>
    <w:p>
      <w:pPr>
        <w:pStyle w:val="null3"/>
      </w:pPr>
      <w:r>
        <w:rPr>
          <w:rFonts w:ascii="仿宋_GB2312" w:hAnsi="仿宋_GB2312" w:cs="仿宋_GB2312" w:eastAsia="仿宋_GB2312"/>
        </w:rPr>
        <w:t>联系电话：18192006549</w:t>
      </w:r>
    </w:p>
    <w:p>
      <w:pPr>
        <w:pStyle w:val="null3"/>
      </w:pPr>
      <w:r>
        <w:rPr>
          <w:rFonts w:ascii="仿宋_GB2312" w:hAnsi="仿宋_GB2312" w:cs="仿宋_GB2312" w:eastAsia="仿宋_GB2312"/>
        </w:rPr>
        <w:t>地址：西安市雁塔区雁南二路西京公司西京科创园3号楼25楼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本招标项目招标范围为西安市未央区教育局机关食堂供餐米面油、蔬菜、调料等原辅材料采购项目。118人预算食材4.72万/月，12个月，共计566400元。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566,400.00</w:t>
      </w:r>
    </w:p>
    <w:p>
      <w:pPr>
        <w:pStyle w:val="null3"/>
      </w:pPr>
      <w:r>
        <w:rPr>
          <w:rFonts w:ascii="仿宋_GB2312" w:hAnsi="仿宋_GB2312" w:cs="仿宋_GB2312" w:eastAsia="仿宋_GB2312"/>
        </w:rPr>
        <w:t>采购包最高限价（元）: 566,400.00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食堂食材采购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566,400.00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、采购内容（包括采购品目、规格和数量）</w:t>
            </w:r>
            <w:r>
              <w:br/>
            </w:r>
          </w:p>
          <w:tbl>
            <w:tblPr>
              <w:tblInd w:type="dxa" w:w="135"/>
              <w:tblBorders>
                <w:top w:val="none" w:color="000000" w:sz="4"/>
                <w:left w:val="none" w:color="000000" w:sz="4"/>
                <w:bottom w:val="none" w:color="000000" w:sz="4"/>
                <w:right w:val="none" w:color="000000" w:sz="4"/>
                <w:insideH w:val="none"/>
                <w:insideV w:val="none"/>
              </w:tblBorders>
            </w:tblPr>
            <w:tblGrid>
              <w:gridCol w:w="339"/>
              <w:gridCol w:w="1107"/>
              <w:gridCol w:w="1107"/>
            </w:tblGrid>
            <w:tr>
              <w:tc>
                <w:tcPr>
                  <w:tcW w:type="dxa" w:w="3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jc w:val="left"/>
                  </w:pPr>
                  <w:r>
                    <w:rPr>
                      <w:rFonts w:ascii="仿宋_GB2312" w:hAnsi="仿宋_GB2312" w:cs="仿宋_GB2312" w:eastAsia="仿宋_GB2312"/>
                      <w:sz w:val="20"/>
                    </w:rPr>
                    <w:t>采购项目</w:t>
                  </w:r>
                </w:p>
              </w:tc>
              <w:tc>
                <w:tcPr>
                  <w:tcW w:type="dxa" w:w="11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860"/>
                    <w:jc w:val="left"/>
                  </w:pPr>
                  <w:r>
                    <w:rPr>
                      <w:rFonts w:ascii="仿宋_GB2312" w:hAnsi="仿宋_GB2312" w:cs="仿宋_GB2312" w:eastAsia="仿宋_GB2312"/>
                      <w:sz w:val="20"/>
                    </w:rPr>
                    <w:t>规格</w:t>
                  </w:r>
                </w:p>
              </w:tc>
              <w:tc>
                <w:tcPr>
                  <w:tcW w:type="dxa" w:w="11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数量</w:t>
                  </w:r>
                </w:p>
              </w:tc>
            </w:tr>
            <w:tr>
              <w:tc>
                <w:tcPr>
                  <w:tcW w:type="dxa" w:w="3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jc w:val="both"/>
                  </w:pPr>
                  <w:r>
                    <w:rPr>
                      <w:rFonts w:ascii="仿宋_GB2312" w:hAnsi="仿宋_GB2312" w:cs="仿宋_GB2312" w:eastAsia="仿宋_GB2312"/>
                      <w:sz w:val="22"/>
                    </w:rPr>
                    <w:t>米面油类</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独立包装；每袋</w:t>
                  </w:r>
                  <w:r>
                    <w:rPr>
                      <w:rFonts w:ascii="仿宋_GB2312" w:hAnsi="仿宋_GB2312" w:cs="仿宋_GB2312" w:eastAsia="仿宋_GB2312"/>
                      <w:sz w:val="22"/>
                    </w:rPr>
                    <w:t>≥25Kg。</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根据实际采购所需数量标准配送</w:t>
                  </w:r>
                </w:p>
              </w:tc>
            </w:tr>
            <w:tr>
              <w:tc>
                <w:tcPr>
                  <w:tcW w:type="dxa" w:w="3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jc w:val="both"/>
                  </w:pPr>
                  <w:r>
                    <w:rPr>
                      <w:rFonts w:ascii="仿宋_GB2312" w:hAnsi="仿宋_GB2312" w:cs="仿宋_GB2312" w:eastAsia="仿宋_GB2312"/>
                      <w:sz w:val="22"/>
                    </w:rPr>
                    <w:t>蔬</w:t>
                  </w:r>
                  <w:r>
                    <w:rPr>
                      <w:rFonts w:ascii="仿宋_GB2312" w:hAnsi="仿宋_GB2312" w:cs="仿宋_GB2312" w:eastAsia="仿宋_GB2312"/>
                      <w:sz w:val="22"/>
                    </w:rPr>
                    <w:t>菜类</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农药残留不得超过《食品中农</w:t>
                  </w:r>
                  <w:r>
                    <w:rPr>
                      <w:rFonts w:ascii="仿宋_GB2312" w:hAnsi="仿宋_GB2312" w:cs="仿宋_GB2312" w:eastAsia="仿宋_GB2312"/>
                      <w:sz w:val="22"/>
                    </w:rPr>
                    <w:t>药最大残留限量》国家标准；</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根据实际采购所需数量标准配送</w:t>
                  </w:r>
                </w:p>
              </w:tc>
            </w:tr>
            <w:tr>
              <w:tc>
                <w:tcPr>
                  <w:tcW w:type="dxa" w:w="3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both"/>
                  </w:pPr>
                  <w:r>
                    <w:rPr>
                      <w:rFonts w:ascii="仿宋_GB2312" w:hAnsi="仿宋_GB2312" w:cs="仿宋_GB2312" w:eastAsia="仿宋_GB2312"/>
                      <w:sz w:val="22"/>
                    </w:rPr>
                    <w:t>干</w:t>
                  </w:r>
                  <w:r>
                    <w:rPr>
                      <w:rFonts w:ascii="仿宋_GB2312" w:hAnsi="仿宋_GB2312" w:cs="仿宋_GB2312" w:eastAsia="仿宋_GB2312"/>
                      <w:sz w:val="22"/>
                    </w:rPr>
                    <w:t>菜</w:t>
                  </w:r>
                  <w:r>
                    <w:rPr>
                      <w:rFonts w:ascii="仿宋_GB2312" w:hAnsi="仿宋_GB2312" w:cs="仿宋_GB2312" w:eastAsia="仿宋_GB2312"/>
                      <w:sz w:val="22"/>
                    </w:rPr>
                    <w:t>、调料类</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糖、味精</w:t>
                  </w:r>
                  <w:r>
                    <w:rPr>
                      <w:rFonts w:ascii="仿宋_GB2312" w:hAnsi="仿宋_GB2312" w:cs="仿宋_GB2312" w:eastAsia="仿宋_GB2312"/>
                      <w:sz w:val="22"/>
                    </w:rPr>
                    <w:t>、酱油、醋、豆制品、生粉等必须具有食品生产许可证；</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根据实际采购所需数量标准配送</w:t>
                  </w:r>
                </w:p>
              </w:tc>
            </w:tr>
            <w:tr>
              <w:tc>
                <w:tcPr>
                  <w:tcW w:type="dxa" w:w="3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jc w:val="both"/>
                  </w:pPr>
                  <w:r>
                    <w:rPr>
                      <w:rFonts w:ascii="仿宋_GB2312" w:hAnsi="仿宋_GB2312" w:cs="仿宋_GB2312" w:eastAsia="仿宋_GB2312"/>
                      <w:sz w:val="20"/>
                    </w:rPr>
                    <w:t>水果类</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农药残</w:t>
                  </w:r>
                  <w:r>
                    <w:rPr>
                      <w:rFonts w:ascii="仿宋_GB2312" w:hAnsi="仿宋_GB2312" w:cs="仿宋_GB2312" w:eastAsia="仿宋_GB2312"/>
                      <w:sz w:val="20"/>
                    </w:rPr>
                    <w:t>留</w:t>
                  </w:r>
                  <w:r>
                    <w:rPr>
                      <w:rFonts w:ascii="仿宋_GB2312" w:hAnsi="仿宋_GB2312" w:cs="仿宋_GB2312" w:eastAsia="仿宋_GB2312"/>
                      <w:sz w:val="20"/>
                    </w:rPr>
                    <w:t>不得超过《食品中农药最大残留限量》国家标准；</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根据实际采购所需数量标准配送</w:t>
                  </w:r>
                </w:p>
              </w:tc>
            </w:tr>
            <w:tr>
              <w:tc>
                <w:tcPr>
                  <w:tcW w:type="dxa" w:w="3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jc w:val="both"/>
                  </w:pPr>
                  <w:r>
                    <w:rPr>
                      <w:rFonts w:ascii="仿宋_GB2312" w:hAnsi="仿宋_GB2312" w:cs="仿宋_GB2312" w:eastAsia="仿宋_GB2312"/>
                      <w:sz w:val="23"/>
                    </w:rPr>
                    <w:t>水产</w:t>
                  </w:r>
                  <w:r>
                    <w:rPr>
                      <w:rFonts w:ascii="仿宋_GB2312" w:hAnsi="仿宋_GB2312" w:cs="仿宋_GB2312" w:eastAsia="仿宋_GB2312"/>
                      <w:sz w:val="23"/>
                    </w:rPr>
                    <w:t>类</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符合国家食品卫生管理规定。</w:t>
                  </w:r>
                </w:p>
              </w:tc>
              <w:tc>
                <w:tcPr>
                  <w:tcW w:type="dxa" w:w="11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2"/>
                    </w:rPr>
                    <w:t>根据实际采购所需数量标准配送</w:t>
                  </w:r>
                </w:p>
              </w:tc>
            </w:tr>
          </w:tbl>
          <w:p>
            <w:pPr>
              <w:pStyle w:val="null3"/>
              <w:jc w:val="both"/>
            </w:pPr>
            <w:r>
              <w:rPr>
                <w:rFonts w:ascii="仿宋_GB2312" w:hAnsi="仿宋_GB2312" w:cs="仿宋_GB2312" w:eastAsia="仿宋_GB2312"/>
                <w:b/>
              </w:rPr>
              <w:t>二</w:t>
            </w:r>
            <w:r>
              <w:rPr>
                <w:rFonts w:ascii="仿宋_GB2312" w:hAnsi="仿宋_GB2312" w:cs="仿宋_GB2312" w:eastAsia="仿宋_GB2312"/>
                <w:b/>
              </w:rPr>
              <w:t>、技术要求（包括对产品的认证、检验报告等）</w:t>
            </w:r>
          </w:p>
          <w:tbl>
            <w:tblPr>
              <w:tblInd w:type="dxa" w:w="135"/>
              <w:tblBorders>
                <w:top w:val="none" w:color="000000" w:sz="4"/>
                <w:left w:val="none" w:color="000000" w:sz="4"/>
                <w:bottom w:val="none" w:color="000000" w:sz="4"/>
                <w:right w:val="none" w:color="000000" w:sz="4"/>
                <w:insideH w:val="none"/>
                <w:insideV w:val="none"/>
              </w:tblBorders>
            </w:tblPr>
            <w:tblGrid>
              <w:gridCol w:w="351"/>
              <w:gridCol w:w="978"/>
              <w:gridCol w:w="1213"/>
            </w:tblGrid>
            <w:tr>
              <w:tc>
                <w:tcPr>
                  <w:tcW w:type="dxa" w:w="3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供货品种</w:t>
                  </w:r>
                </w:p>
              </w:tc>
              <w:tc>
                <w:tcPr>
                  <w:tcW w:type="dxa" w:w="9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0"/>
                    </w:rPr>
                    <w:t>种类</w:t>
                  </w:r>
                </w:p>
              </w:tc>
              <w:tc>
                <w:tcPr>
                  <w:tcW w:type="dxa" w:w="12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技术参数要求</w:t>
                  </w:r>
                </w:p>
              </w:tc>
            </w:tr>
            <w:tr>
              <w:tc>
                <w:tcPr>
                  <w:tcW w:type="dxa" w:w="35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40"/>
                    <w:jc w:val="both"/>
                  </w:pPr>
                  <w:r>
                    <w:rPr>
                      <w:rFonts w:ascii="仿宋_GB2312" w:hAnsi="仿宋_GB2312" w:cs="仿宋_GB2312" w:eastAsia="仿宋_GB2312"/>
                      <w:sz w:val="20"/>
                    </w:rPr>
                    <w:t>米面油类</w:t>
                  </w:r>
                </w:p>
              </w:tc>
              <w:tc>
                <w:tcPr>
                  <w:tcW w:type="dxa" w:w="9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0"/>
                    </w:rPr>
                    <w:t>大米、面粉、</w:t>
                  </w:r>
                  <w:r>
                    <w:rPr>
                      <w:rFonts w:ascii="仿宋_GB2312" w:hAnsi="仿宋_GB2312" w:cs="仿宋_GB2312" w:eastAsia="仿宋_GB2312"/>
                      <w:sz w:val="20"/>
                    </w:rPr>
                    <w:t>菜籽油</w:t>
                  </w: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①质量必须符合国家食品卫生管理规定；</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②配送</w:t>
                  </w:r>
                  <w:r>
                    <w:rPr>
                      <w:rFonts w:ascii="仿宋_GB2312" w:hAnsi="仿宋_GB2312" w:cs="仿宋_GB2312" w:eastAsia="仿宋_GB2312"/>
                      <w:sz w:val="20"/>
                    </w:rPr>
                    <w:t>无过期产品和</w:t>
                  </w:r>
                  <w:r>
                    <w:rPr>
                      <w:rFonts w:ascii="仿宋_GB2312" w:hAnsi="仿宋_GB2312" w:cs="仿宋_GB2312" w:eastAsia="仿宋_GB2312"/>
                      <w:sz w:val="20"/>
                    </w:rPr>
                    <w:t>邻近保质期食品；</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③</w:t>
                  </w:r>
                  <w:r>
                    <w:rPr>
                      <w:rFonts w:ascii="仿宋_GB2312" w:hAnsi="仿宋_GB2312" w:cs="仿宋_GB2312" w:eastAsia="仿宋_GB2312"/>
                      <w:sz w:val="20"/>
                    </w:rPr>
                    <w:t>存量、配送数量及周期：以实际使用数量为准，每周一次配</w:t>
                  </w:r>
                  <w:r>
                    <w:rPr>
                      <w:rFonts w:ascii="仿宋_GB2312" w:hAnsi="仿宋_GB2312" w:cs="仿宋_GB2312" w:eastAsia="仿宋_GB2312"/>
                      <w:sz w:val="20"/>
                    </w:rPr>
                    <w:t>送</w:t>
                  </w:r>
                  <w:r>
                    <w:rPr>
                      <w:rFonts w:ascii="仿宋_GB2312" w:hAnsi="仿宋_GB2312" w:cs="仿宋_GB2312" w:eastAsia="仿宋_GB2312"/>
                      <w:sz w:val="20"/>
                    </w:rPr>
                    <w:t>至指定库房。投标人在配送前，在仓库储备至少</w:t>
                  </w:r>
                  <w:r>
                    <w:rPr>
                      <w:rFonts w:ascii="仿宋_GB2312" w:hAnsi="仿宋_GB2312" w:cs="仿宋_GB2312" w:eastAsia="仿宋_GB2312"/>
                      <w:sz w:val="20"/>
                    </w:rPr>
                    <w:t>1 个月所配送大 米存量，以保证不受影响供货。</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④不含有转基</w:t>
                  </w:r>
                  <w:r>
                    <w:rPr>
                      <w:rFonts w:ascii="仿宋_GB2312" w:hAnsi="仿宋_GB2312" w:cs="仿宋_GB2312" w:eastAsia="仿宋_GB2312"/>
                      <w:sz w:val="20"/>
                    </w:rPr>
                    <w:t>因原材料。</w:t>
                  </w:r>
                </w:p>
              </w:tc>
            </w:tr>
            <w:tr>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45"/>
                    <w:jc w:val="both"/>
                  </w:pPr>
                  <w:r>
                    <w:rPr>
                      <w:rFonts w:ascii="仿宋_GB2312" w:hAnsi="仿宋_GB2312" w:cs="仿宋_GB2312" w:eastAsia="仿宋_GB2312"/>
                      <w:sz w:val="20"/>
                    </w:rPr>
                    <w:t>蔬</w:t>
                  </w:r>
                  <w:r>
                    <w:rPr>
                      <w:rFonts w:ascii="仿宋_GB2312" w:hAnsi="仿宋_GB2312" w:cs="仿宋_GB2312" w:eastAsia="仿宋_GB2312"/>
                      <w:sz w:val="20"/>
                    </w:rPr>
                    <w:t>菜类</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5"/>
                    <w:jc w:val="both"/>
                  </w:pPr>
                  <w:r>
                    <w:rPr>
                      <w:rFonts w:ascii="仿宋_GB2312" w:hAnsi="仿宋_GB2312" w:cs="仿宋_GB2312" w:eastAsia="仿宋_GB2312"/>
                      <w:sz w:val="20"/>
                    </w:rPr>
                    <w:t>土豆、西红柿、洋葱、</w:t>
                  </w:r>
                  <w:r>
                    <w:rPr>
                      <w:rFonts w:ascii="仿宋_GB2312" w:hAnsi="仿宋_GB2312" w:cs="仿宋_GB2312" w:eastAsia="仿宋_GB2312"/>
                      <w:sz w:val="20"/>
                    </w:rPr>
                    <w:t>白菜、茄子、辣椒、</w:t>
                  </w:r>
                  <w:r>
                    <w:rPr>
                      <w:rFonts w:ascii="仿宋_GB2312" w:hAnsi="仿宋_GB2312" w:cs="仿宋_GB2312" w:eastAsia="仿宋_GB2312"/>
                      <w:sz w:val="20"/>
                    </w:rPr>
                    <w:t>葱</w:t>
                  </w:r>
                  <w:r>
                    <w:rPr>
                      <w:rFonts w:ascii="仿宋_GB2312" w:hAnsi="仿宋_GB2312" w:cs="仿宋_GB2312" w:eastAsia="仿宋_GB2312"/>
                      <w:sz w:val="20"/>
                    </w:rPr>
                    <w:t>、莲花白等</w:t>
                  </w: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①蔬菜必须新</w:t>
                  </w:r>
                  <w:r>
                    <w:rPr>
                      <w:rFonts w:ascii="仿宋_GB2312" w:hAnsi="仿宋_GB2312" w:cs="仿宋_GB2312" w:eastAsia="仿宋_GB2312"/>
                      <w:sz w:val="20"/>
                    </w:rPr>
                    <w:t>鲜，质量必须符合国家食品卫生管理规定；</w:t>
                  </w:r>
                </w:p>
              </w:tc>
            </w:tr>
            <w:tr>
              <w:tc>
                <w:tcPr>
                  <w:tcW w:type="dxa" w:w="35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②农药残留不得超过《食品中农</w:t>
                  </w:r>
                  <w:r>
                    <w:rPr>
                      <w:rFonts w:ascii="仿宋_GB2312" w:hAnsi="仿宋_GB2312" w:cs="仿宋_GB2312" w:eastAsia="仿宋_GB2312"/>
                      <w:sz w:val="20"/>
                    </w:rPr>
                    <w:t>药最大残留限量》国家标准；</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③不得提供腐</w:t>
                  </w:r>
                  <w:r>
                    <w:rPr>
                      <w:rFonts w:ascii="仿宋_GB2312" w:hAnsi="仿宋_GB2312" w:cs="仿宋_GB2312" w:eastAsia="仿宋_GB2312"/>
                      <w:sz w:val="20"/>
                    </w:rPr>
                    <w:t>烂变质、黄叶、烂叶及带泥巴的蔬菜；</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④蔬菜外表不</w:t>
                  </w:r>
                  <w:r>
                    <w:rPr>
                      <w:rFonts w:ascii="仿宋_GB2312" w:hAnsi="仿宋_GB2312" w:cs="仿宋_GB2312" w:eastAsia="仿宋_GB2312"/>
                      <w:sz w:val="20"/>
                    </w:rPr>
                    <w:t>得人为喷洒水分和有过多的虫孔；</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⑤不得提供过</w:t>
                  </w:r>
                  <w:r>
                    <w:rPr>
                      <w:rFonts w:ascii="仿宋_GB2312" w:hAnsi="仿宋_GB2312" w:cs="仿宋_GB2312" w:eastAsia="仿宋_GB2312"/>
                      <w:sz w:val="20"/>
                    </w:rPr>
                    <w:t>长的菜头和菜根。</w:t>
                  </w:r>
                </w:p>
              </w:tc>
            </w:tr>
            <w:tr>
              <w:tc>
                <w:tcPr>
                  <w:tcW w:type="dxa" w:w="35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干</w:t>
                  </w:r>
                  <w:r>
                    <w:rPr>
                      <w:rFonts w:ascii="仿宋_GB2312" w:hAnsi="仿宋_GB2312" w:cs="仿宋_GB2312" w:eastAsia="仿宋_GB2312"/>
                      <w:sz w:val="20"/>
                    </w:rPr>
                    <w:t>菜</w:t>
                  </w:r>
                  <w:r>
                    <w:rPr>
                      <w:rFonts w:ascii="仿宋_GB2312" w:hAnsi="仿宋_GB2312" w:cs="仿宋_GB2312" w:eastAsia="仿宋_GB2312"/>
                      <w:sz w:val="20"/>
                    </w:rPr>
                    <w:t>、调料类</w:t>
                  </w:r>
                </w:p>
              </w:tc>
              <w:tc>
                <w:tcPr>
                  <w:tcW w:type="dxa" w:w="97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醋、</w:t>
                  </w:r>
                  <w:r>
                    <w:rPr>
                      <w:rFonts w:ascii="仿宋_GB2312" w:hAnsi="仿宋_GB2312" w:cs="仿宋_GB2312" w:eastAsia="仿宋_GB2312"/>
                      <w:sz w:val="20"/>
                    </w:rPr>
                    <w:t>白糖、火锅</w:t>
                  </w:r>
                  <w:r>
                    <w:rPr>
                      <w:rFonts w:ascii="仿宋_GB2312" w:hAnsi="仿宋_GB2312" w:cs="仿宋_GB2312" w:eastAsia="仿宋_GB2312"/>
                      <w:sz w:val="20"/>
                    </w:rPr>
                    <w:t>底料、料酒、花椒、粉条、</w:t>
                  </w:r>
                  <w:r>
                    <w:rPr>
                      <w:rFonts w:ascii="仿宋_GB2312" w:hAnsi="仿宋_GB2312" w:cs="仿宋_GB2312" w:eastAsia="仿宋_GB2312"/>
                      <w:sz w:val="20"/>
                    </w:rPr>
                    <w:t>盐、鸡精、木耳、干尖椒、大料、豆瓣酱</w:t>
                  </w:r>
                  <w:r>
                    <w:rPr>
                      <w:rFonts w:ascii="仿宋_GB2312" w:hAnsi="仿宋_GB2312" w:cs="仿宋_GB2312" w:eastAsia="仿宋_GB2312"/>
                      <w:sz w:val="20"/>
                    </w:rPr>
                    <w:t>、</w:t>
                  </w:r>
                  <w:r>
                    <w:rPr>
                      <w:rFonts w:ascii="仿宋_GB2312" w:hAnsi="仿宋_GB2312" w:cs="仿宋_GB2312" w:eastAsia="仿宋_GB2312"/>
                      <w:sz w:val="20"/>
                    </w:rPr>
                    <w:t>淀粉、</w:t>
                  </w:r>
                  <w:r>
                    <w:rPr>
                      <w:rFonts w:ascii="仿宋_GB2312" w:hAnsi="仿宋_GB2312" w:cs="仿宋_GB2312" w:eastAsia="仿宋_GB2312"/>
                      <w:sz w:val="20"/>
                    </w:rPr>
                    <w:t>十</w:t>
                  </w:r>
                  <w:r>
                    <w:rPr>
                      <w:rFonts w:ascii="仿宋_GB2312" w:hAnsi="仿宋_GB2312" w:cs="仿宋_GB2312" w:eastAsia="仿宋_GB2312"/>
                      <w:sz w:val="20"/>
                    </w:rPr>
                    <w:t>三香、老抽、酱油、花生米、味精、</w:t>
                  </w:r>
                  <w:r>
                    <w:rPr>
                      <w:rFonts w:ascii="仿宋_GB2312" w:hAnsi="仿宋_GB2312" w:cs="仿宋_GB2312" w:eastAsia="仿宋_GB2312"/>
                      <w:sz w:val="21"/>
                    </w:rPr>
                    <w:t xml:space="preserve"> </w:t>
                  </w:r>
                  <w:r>
                    <w:rPr>
                      <w:rFonts w:ascii="仿宋_GB2312" w:hAnsi="仿宋_GB2312" w:cs="仿宋_GB2312" w:eastAsia="仿宋_GB2312"/>
                      <w:sz w:val="20"/>
                    </w:rPr>
                    <w:t>红</w:t>
                  </w:r>
                  <w:r>
                    <w:rPr>
                      <w:rFonts w:ascii="仿宋_GB2312" w:hAnsi="仿宋_GB2312" w:cs="仿宋_GB2312" w:eastAsia="仿宋_GB2312"/>
                      <w:sz w:val="20"/>
                    </w:rPr>
                    <w:t>糖、蚝油、干香菇、食用油等</w:t>
                  </w: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①所有的调料干</w:t>
                  </w:r>
                  <w:r>
                    <w:rPr>
                      <w:rFonts w:ascii="仿宋_GB2312" w:hAnsi="仿宋_GB2312" w:cs="仿宋_GB2312" w:eastAsia="仿宋_GB2312"/>
                      <w:sz w:val="20"/>
                    </w:rPr>
                    <w:t>菜必须符合国家卫生标准和质量要求；</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②糖、味精</w:t>
                  </w:r>
                  <w:r>
                    <w:rPr>
                      <w:rFonts w:ascii="仿宋_GB2312" w:hAnsi="仿宋_GB2312" w:cs="仿宋_GB2312" w:eastAsia="仿宋_GB2312"/>
                      <w:sz w:val="20"/>
                    </w:rPr>
                    <w:t>、酱油、醋、豆制品、生粉等必须具</w:t>
                  </w:r>
                  <w:r>
                    <w:rPr>
                      <w:rFonts w:ascii="仿宋_GB2312" w:hAnsi="仿宋_GB2312" w:cs="仿宋_GB2312" w:eastAsia="仿宋_GB2312"/>
                      <w:sz w:val="20"/>
                    </w:rPr>
                    <w:t>有</w:t>
                  </w:r>
                  <w:r>
                    <w:rPr>
                      <w:rFonts w:ascii="仿宋_GB2312" w:hAnsi="仿宋_GB2312" w:cs="仿宋_GB2312" w:eastAsia="仿宋_GB2312"/>
                      <w:sz w:val="20"/>
                    </w:rPr>
                    <w:t>食品生产许可证；</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③无过期食</w:t>
                  </w:r>
                  <w:r>
                    <w:rPr>
                      <w:rFonts w:ascii="仿宋_GB2312" w:hAnsi="仿宋_GB2312" w:cs="仿宋_GB2312" w:eastAsia="仿宋_GB2312"/>
                      <w:sz w:val="20"/>
                    </w:rPr>
                    <w:t>品和邻近保质期食品；</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single" w:color="000000" w:sz="4"/>
                    <w:bottom w:val="single" w:color="000000" w:sz="4"/>
                    <w:right w:val="single" w:color="000000" w:sz="4"/>
                  </w:tcBorders>
                </w:tcPr>
                <w:p/>
              </w:tc>
              <w:tc>
                <w:tcPr>
                  <w:tcW w:type="dxa" w:w="12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④不含有转基</w:t>
                  </w:r>
                  <w:r>
                    <w:rPr>
                      <w:rFonts w:ascii="仿宋_GB2312" w:hAnsi="仿宋_GB2312" w:cs="仿宋_GB2312" w:eastAsia="仿宋_GB2312"/>
                      <w:sz w:val="20"/>
                    </w:rPr>
                    <w:t>因原材料。</w:t>
                  </w:r>
                </w:p>
              </w:tc>
            </w:tr>
            <w:tr>
              <w:tc>
                <w:tcPr>
                  <w:tcW w:type="dxa" w:w="35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水果类</w:t>
                  </w:r>
                </w:p>
              </w:tc>
              <w:tc>
                <w:tcPr>
                  <w:tcW w:type="dxa" w:w="97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苹果、梨、桃、香蕉、橙子、樱桃、葡萄、哈</w:t>
                  </w:r>
                  <w:r>
                    <w:rPr>
                      <w:rFonts w:ascii="仿宋_GB2312" w:hAnsi="仿宋_GB2312" w:cs="仿宋_GB2312" w:eastAsia="仿宋_GB2312"/>
                      <w:sz w:val="20"/>
                    </w:rPr>
                    <w:t>密瓜、西瓜、乳瓜、杏、李等</w:t>
                  </w: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①水果为新鲜水果，质量必须符合国家食品卫生管理规定；</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②农药残留不得超过《食品中农药最大残留限量》国家标准；</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③果形端正，大小均匀，无畸形果，带果柄，果实无萎焉；</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④果面新鲜洁净，无刺划伤，无压痕，无病虫害，无病斑，无腐烂；</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⑤口感正常，具有水果特有的风味。</w:t>
                  </w:r>
                </w:p>
              </w:tc>
            </w:tr>
            <w:tr>
              <w:tc>
                <w:tcPr>
                  <w:tcW w:type="dxa" w:w="35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水产类</w:t>
                  </w:r>
                </w:p>
              </w:tc>
              <w:tc>
                <w:tcPr>
                  <w:tcW w:type="dxa" w:w="97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黄花鱼、青虾、刀鱼、草鱼、鲤鱼、鱿</w:t>
                  </w:r>
                  <w:r>
                    <w:rPr>
                      <w:rFonts w:ascii="仿宋_GB2312" w:hAnsi="仿宋_GB2312" w:cs="仿宋_GB2312" w:eastAsia="仿宋_GB2312"/>
                      <w:sz w:val="20"/>
                    </w:rPr>
                    <w:t>鱼、鲅鱼、冰虾、鲫鱼、花盖蟹</w:t>
                  </w:r>
                  <w:r>
                    <w:rPr>
                      <w:rFonts w:ascii="仿宋_GB2312" w:hAnsi="仿宋_GB2312" w:cs="仿宋_GB2312" w:eastAsia="仿宋_GB2312"/>
                      <w:sz w:val="20"/>
                    </w:rPr>
                    <w:t>(成蟹) 等。</w:t>
                  </w: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①符合国家食品卫生管理规定。</w:t>
                  </w:r>
                </w:p>
              </w:tc>
            </w:tr>
            <w:tr>
              <w:tc>
                <w:tcPr>
                  <w:tcW w:type="dxa" w:w="351"/>
                  <w:vMerge/>
                  <w:tcBorders>
                    <w:top w:val="none" w:color="000000" w:sz="4"/>
                    <w:left w:val="single" w:color="000000" w:sz="4"/>
                    <w:bottom w:val="single" w:color="000000" w:sz="4"/>
                    <w:right w:val="single" w:color="000000" w:sz="4"/>
                  </w:tcBorders>
                </w:tcPr>
                <w:p/>
              </w:tc>
              <w:tc>
                <w:tcPr>
                  <w:tcW w:type="dxa" w:w="978"/>
                  <w:vMerge/>
                  <w:tcBorders>
                    <w:top w:val="none" w:color="000000" w:sz="4"/>
                    <w:left w:val="none" w:color="000000" w:sz="4"/>
                    <w:bottom w:val="single" w:color="000000" w:sz="4"/>
                    <w:right w:val="single" w:color="000000" w:sz="4"/>
                  </w:tcBorders>
                </w:tcPr>
                <w:p/>
              </w:tc>
              <w:tc>
                <w:tcPr>
                  <w:tcW w:type="dxa" w:w="12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left="15"/>
                    <w:jc w:val="both"/>
                  </w:pPr>
                  <w:r>
                    <w:rPr>
                      <w:rFonts w:ascii="仿宋_GB2312" w:hAnsi="仿宋_GB2312" w:cs="仿宋_GB2312" w:eastAsia="仿宋_GB2312"/>
                      <w:sz w:val="20"/>
                    </w:rPr>
                    <w:t>②淡水鱼、虾、贝类必须鲜活，且符合食品卫生相关标准及法规要求</w:t>
                  </w:r>
                </w:p>
              </w:tc>
            </w:tr>
          </w:tbl>
          <w:p>
            <w:pPr>
              <w:pStyle w:val="null3"/>
              <w:numPr>
                <w:ilvl w:val="0"/>
                <w:numId w:val="1"/>
              </w:numPr>
              <w:jc w:val="both"/>
            </w:pPr>
            <w:r>
              <w:rPr>
                <w:rFonts w:ascii="仿宋_GB2312" w:hAnsi="仿宋_GB2312" w:cs="仿宋_GB2312" w:eastAsia="仿宋_GB2312"/>
                <w:sz w:val="20"/>
                <w:b/>
              </w:rPr>
              <w:t>三、服务要求</w:t>
            </w:r>
            <w:r>
              <w:br/>
            </w:r>
            <w:r>
              <w:rPr>
                <w:rFonts w:ascii="仿宋_GB2312" w:hAnsi="仿宋_GB2312" w:cs="仿宋_GB2312" w:eastAsia="仿宋_GB2312"/>
                <w:sz w:val="20"/>
              </w:rPr>
              <w:t>1、成交供应商负责办理将货物或服务运抵采购人指定交货地点的一切事项，并完成所有相关工作。确保货物来源正规，凡包装、配送、装卸、退换货、售后服务、验收等，所有费用一次性计入投标价格。</w:t>
            </w:r>
          </w:p>
          <w:p>
            <w:pPr>
              <w:pStyle w:val="null3"/>
              <w:jc w:val="both"/>
            </w:pPr>
            <w:r>
              <w:rPr>
                <w:rFonts w:ascii="仿宋_GB2312" w:hAnsi="仿宋_GB2312" w:cs="仿宋_GB2312" w:eastAsia="仿宋_GB2312"/>
                <w:sz w:val="20"/>
              </w:rPr>
              <w:t>2、质保期内，成交供应商须负责有问题食品的退换等，确保食品安全。</w:t>
            </w:r>
          </w:p>
          <w:p>
            <w:pPr>
              <w:pStyle w:val="null3"/>
              <w:jc w:val="both"/>
            </w:pPr>
            <w:r>
              <w:rPr>
                <w:rFonts w:ascii="仿宋_GB2312" w:hAnsi="仿宋_GB2312" w:cs="仿宋_GB2312" w:eastAsia="仿宋_GB2312"/>
                <w:sz w:val="20"/>
              </w:rPr>
              <w:t>3、成交供应商须提供货物或服务运至合同规定的最终目的地所需要的绿色包装和绿色运输，包装运输满足《关于印发〈商品包装政府采购需求标准 (试行) 〉〈快递包装政府采购需求标准 (试行) 〉》  (财办库〔2020〕123 号) 要求，以防止货物在运输中损坏或变质；包装运输应采取防潮、防晒、防腐蚀、防震动及防止其它损坏的必要保护措施，从而保护货物能够经受搬运、装卸及运输。成交供应商应承担由于其包装或防护措施不妥而引起的货物变质、损坏和丢失等任何损失造成的责任或费用。</w:t>
            </w:r>
          </w:p>
          <w:p>
            <w:pPr>
              <w:pStyle w:val="null3"/>
              <w:jc w:val="both"/>
            </w:pPr>
            <w:r>
              <w:rPr>
                <w:rFonts w:ascii="仿宋_GB2312" w:hAnsi="仿宋_GB2312" w:cs="仿宋_GB2312" w:eastAsia="仿宋_GB2312"/>
                <w:sz w:val="20"/>
              </w:rPr>
              <w:t>4、售后响应时间：接到采购人售后要求后，及时响应给出解决方案，并安排专人到达现场，及</w:t>
            </w:r>
            <w:r>
              <w:rPr>
                <w:rFonts w:ascii="仿宋_GB2312" w:hAnsi="仿宋_GB2312" w:cs="仿宋_GB2312" w:eastAsia="仿宋_GB2312"/>
                <w:sz w:val="20"/>
              </w:rPr>
              <w:t>时解决问题。</w:t>
            </w:r>
          </w:p>
          <w:p>
            <w:pPr>
              <w:pStyle w:val="null3"/>
              <w:jc w:val="both"/>
            </w:pPr>
            <w:r>
              <w:rPr>
                <w:rFonts w:ascii="仿宋_GB2312" w:hAnsi="仿宋_GB2312" w:cs="仿宋_GB2312" w:eastAsia="仿宋_GB2312"/>
                <w:sz w:val="20"/>
              </w:rPr>
              <w:t>5、根据相关政策米、面、油等相关产品需在脱贫地区农副产品网络销售平台（https://www.fupin832.com/）购买，且不少于15%的份额，如遇国家新政策，以国家新政策为准执行。</w:t>
            </w:r>
          </w:p>
          <w:p>
            <w:pPr>
              <w:pStyle w:val="null3"/>
              <w:jc w:val="both"/>
            </w:pPr>
            <w:r>
              <w:rPr>
                <w:rFonts w:ascii="仿宋_GB2312" w:hAnsi="仿宋_GB2312" w:cs="仿宋_GB2312" w:eastAsia="仿宋_GB2312"/>
                <w:sz w:val="20"/>
                <w:b/>
              </w:rPr>
              <w:t>四、商务要求</w:t>
            </w:r>
            <w:r>
              <w:br/>
            </w:r>
            <w:r>
              <w:rPr>
                <w:rFonts w:ascii="仿宋_GB2312" w:hAnsi="仿宋_GB2312" w:cs="仿宋_GB2312" w:eastAsia="仿宋_GB2312"/>
                <w:sz w:val="20"/>
              </w:rPr>
              <w:t>（一）配送时间、地点与方式：</w:t>
            </w:r>
          </w:p>
          <w:p>
            <w:pPr>
              <w:pStyle w:val="null3"/>
              <w:jc w:val="both"/>
            </w:pPr>
            <w:r>
              <w:rPr>
                <w:rFonts w:ascii="仿宋_GB2312" w:hAnsi="仿宋_GB2312" w:cs="仿宋_GB2312" w:eastAsia="仿宋_GB2312"/>
                <w:sz w:val="20"/>
              </w:rPr>
              <w:t>1.周一至周五: 07:30前；</w:t>
            </w:r>
          </w:p>
          <w:p>
            <w:pPr>
              <w:pStyle w:val="null3"/>
              <w:jc w:val="both"/>
            </w:pPr>
            <w:r>
              <w:rPr>
                <w:rFonts w:ascii="仿宋_GB2312" w:hAnsi="仿宋_GB2312" w:cs="仿宋_GB2312" w:eastAsia="仿宋_GB2312"/>
                <w:sz w:val="20"/>
              </w:rPr>
              <w:t>2.应急性配送：接到招标人临时性的食品采购订单通知后，应在1小时内送达指定区域。</w:t>
            </w:r>
          </w:p>
          <w:p>
            <w:pPr>
              <w:pStyle w:val="null3"/>
              <w:jc w:val="both"/>
            </w:pPr>
            <w:r>
              <w:rPr>
                <w:rFonts w:ascii="仿宋_GB2312" w:hAnsi="仿宋_GB2312" w:cs="仿宋_GB2312" w:eastAsia="仿宋_GB2312"/>
                <w:sz w:val="20"/>
              </w:rPr>
              <w:t>3.配送地点：招标人指定地点。</w:t>
            </w:r>
          </w:p>
          <w:p>
            <w:pPr>
              <w:pStyle w:val="null3"/>
              <w:jc w:val="both"/>
            </w:pPr>
            <w:r>
              <w:rPr>
                <w:rFonts w:ascii="仿宋_GB2312" w:hAnsi="仿宋_GB2312" w:cs="仿宋_GB2312" w:eastAsia="仿宋_GB2312"/>
                <w:sz w:val="20"/>
              </w:rPr>
              <w:t>4.配送方式：运输应当使用符合食品安全要求的专用车辆，不得与其他物资混装混运；严格按照冷链运输要求运输，运输途中严防日晒、雨淋，注意通风散热；装卸过程严防机械损伤。运抵后，由投标人负责将货物搬运至库房。疫情防控期间，所有食品从业人员必须每天做好体温检测，佩戴口罩。配送食品车辆须不间断进行消毒。</w:t>
            </w:r>
          </w:p>
          <w:p>
            <w:pPr>
              <w:pStyle w:val="null3"/>
              <w:jc w:val="both"/>
            </w:pPr>
            <w:r>
              <w:rPr>
                <w:rFonts w:ascii="仿宋_GB2312" w:hAnsi="仿宋_GB2312" w:cs="仿宋_GB2312" w:eastAsia="仿宋_GB2312"/>
                <w:sz w:val="20"/>
              </w:rPr>
              <w:t>5.配送费用：送货过程中产生的所有费用由投标人承担。</w:t>
            </w:r>
          </w:p>
          <w:p>
            <w:pPr>
              <w:pStyle w:val="null3"/>
              <w:jc w:val="both"/>
            </w:pPr>
            <w:r>
              <w:rPr>
                <w:rFonts w:ascii="仿宋_GB2312" w:hAnsi="仿宋_GB2312" w:cs="仿宋_GB2312" w:eastAsia="仿宋_GB2312"/>
                <w:sz w:val="20"/>
              </w:rPr>
              <w:t>（二）供货要求：</w:t>
            </w:r>
          </w:p>
          <w:p>
            <w:pPr>
              <w:pStyle w:val="null3"/>
              <w:jc w:val="both"/>
            </w:pPr>
            <w:r>
              <w:rPr>
                <w:rFonts w:ascii="仿宋_GB2312" w:hAnsi="仿宋_GB2312" w:cs="仿宋_GB2312" w:eastAsia="仿宋_GB2312"/>
                <w:sz w:val="20"/>
              </w:rPr>
              <w:t>1.供货期：前一天下菜单，当天接收新鲜菜品。</w:t>
            </w:r>
          </w:p>
          <w:p>
            <w:pPr>
              <w:pStyle w:val="null3"/>
              <w:jc w:val="both"/>
            </w:pPr>
            <w:r>
              <w:rPr>
                <w:rFonts w:ascii="仿宋_GB2312" w:hAnsi="仿宋_GB2312" w:cs="仿宋_GB2312" w:eastAsia="仿宋_GB2312"/>
                <w:sz w:val="20"/>
              </w:rPr>
              <w:t>2.供货数量要求：货物重量若有标准件按标准件抽样称重（净重），并按抽样重量计算，没有标准件按实际过磅重量计算（净重）</w:t>
            </w:r>
          </w:p>
          <w:p>
            <w:pPr>
              <w:pStyle w:val="null3"/>
              <w:jc w:val="both"/>
            </w:pPr>
            <w:r>
              <w:rPr>
                <w:rFonts w:ascii="仿宋_GB2312" w:hAnsi="仿宋_GB2312" w:cs="仿宋_GB2312" w:eastAsia="仿宋_GB2312"/>
                <w:sz w:val="20"/>
              </w:rPr>
              <w:t>3.下达订单方式为：配送周期数量，投标人使用未央区教育局食堂食材供应链监管平台，采取网上下单采购，投标人接单配送至指定库房。</w:t>
            </w:r>
          </w:p>
          <w:p>
            <w:pPr>
              <w:pStyle w:val="null3"/>
              <w:jc w:val="both"/>
            </w:pPr>
            <w:r>
              <w:rPr>
                <w:rFonts w:ascii="仿宋_GB2312" w:hAnsi="仿宋_GB2312" w:cs="仿宋_GB2312" w:eastAsia="仿宋_GB2312"/>
                <w:sz w:val="20"/>
              </w:rPr>
              <w:t>4. 投标人接到招标人订单后，个别种类因缺货而无法提供的，应在接到订单30分钟内及时告知招标人，并协商好解决方法。特殊情况（如连续降雨、降雪、冰冻等）将视不同情形调整供货存量，且以配送通知为准（包括电话通知、短信通知、微信通知等）。</w:t>
            </w:r>
          </w:p>
          <w:p>
            <w:pPr>
              <w:pStyle w:val="null3"/>
              <w:jc w:val="both"/>
            </w:pPr>
            <w:r>
              <w:rPr>
                <w:rFonts w:ascii="仿宋_GB2312" w:hAnsi="仿宋_GB2312" w:cs="仿宋_GB2312" w:eastAsia="仿宋_GB2312"/>
                <w:sz w:val="20"/>
              </w:rPr>
              <w:t>5.若遇特殊情况，投标人能按招标人要求及时补货，应在1小时内送达。</w:t>
            </w:r>
          </w:p>
          <w:p>
            <w:pPr>
              <w:pStyle w:val="null3"/>
              <w:jc w:val="both"/>
            </w:pPr>
            <w:r>
              <w:rPr>
                <w:rFonts w:ascii="仿宋_GB2312" w:hAnsi="仿宋_GB2312" w:cs="仿宋_GB2312" w:eastAsia="仿宋_GB2312"/>
                <w:sz w:val="20"/>
              </w:rPr>
              <w:t>6.未经过招标人同意提前或推迟送货，招标人有权拒绝验收签单。</w:t>
            </w:r>
          </w:p>
          <w:p>
            <w:pPr>
              <w:pStyle w:val="null3"/>
              <w:jc w:val="both"/>
            </w:pPr>
            <w:r>
              <w:rPr>
                <w:rFonts w:ascii="仿宋_GB2312" w:hAnsi="仿宋_GB2312" w:cs="仿宋_GB2312" w:eastAsia="仿宋_GB2312"/>
                <w:sz w:val="20"/>
              </w:rPr>
              <w:t>7.投标人每次供货时需提供教育局食堂食材供应链监管平台自动生成清单和检验报告等证明材料，未提供证明材料时招标人有权拒绝验收签单。</w:t>
            </w:r>
          </w:p>
          <w:p>
            <w:pPr>
              <w:pStyle w:val="null3"/>
              <w:jc w:val="both"/>
            </w:pPr>
            <w:r>
              <w:rPr>
                <w:rFonts w:ascii="仿宋_GB2312" w:hAnsi="仿宋_GB2312" w:cs="仿宋_GB2312" w:eastAsia="仿宋_GB2312"/>
                <w:sz w:val="20"/>
              </w:rPr>
              <w:t>8.规格包装的产品交付时，必须原包装完好无破损，否则招标人有权拒收。</w:t>
            </w:r>
          </w:p>
          <w:p>
            <w:pPr>
              <w:pStyle w:val="null3"/>
              <w:jc w:val="both"/>
            </w:pPr>
            <w:r>
              <w:rPr>
                <w:rFonts w:ascii="仿宋_GB2312" w:hAnsi="仿宋_GB2312" w:cs="仿宋_GB2312" w:eastAsia="仿宋_GB2312"/>
                <w:sz w:val="20"/>
              </w:rPr>
              <w:t>9.供货质量要求：投标人必须按要求提供货物必要品种的检疫检测报告、蔬菜农药残留化验单等证明材料。招标人有权对不符合质量要求、以次充好的食品货物予以退货或要求换货，投标人必须无条件退换并及时予以补货，我单位将视情节做出处罚决定。</w:t>
            </w:r>
          </w:p>
          <w:p>
            <w:pPr>
              <w:pStyle w:val="null3"/>
              <w:jc w:val="both"/>
            </w:pPr>
            <w:r>
              <w:rPr>
                <w:rFonts w:ascii="仿宋_GB2312" w:hAnsi="仿宋_GB2312" w:cs="仿宋_GB2312" w:eastAsia="仿宋_GB2312"/>
                <w:sz w:val="20"/>
              </w:rPr>
              <w:t>10.为保证食品安全，对所有产品的质量要求为优质产品，投标人不得提供下列食品：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1）腐败变质、油脂酸败、霉变、生虫、污秽不洁、混有异物或者其他感官性状异常，对人体健康有害的；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2）含有毒、有害物质或者被有害物质污染，对人体健康有害的；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3）含有致病性寄生虫、微生物或者微生物含量超过国家限定标准的；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4）未经动物检疫部门检疫、检验或者检疫、检验不合格的肉类及其制品；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5）病死、毒死或者死因不明的禽、畜、兽、水产等及其制品；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6）掺假、掺杂、伪造，影响营养、卫生的；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7）用非食品原料加工的，加入非食品用化学物质或者将非食品当作食品的；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8）超过保质期限的；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9）法律、法规、规章、规范性文件以及相关规定限制和禁止进入市场流通的食品。</w:t>
            </w:r>
          </w:p>
          <w:p>
            <w:pPr>
              <w:pStyle w:val="null3"/>
              <w:jc w:val="both"/>
            </w:pPr>
            <w:r>
              <w:rPr>
                <w:rFonts w:ascii="仿宋_GB2312" w:hAnsi="仿宋_GB2312" w:cs="仿宋_GB2312" w:eastAsia="仿宋_GB2312"/>
                <w:sz w:val="20"/>
              </w:rPr>
              <w:t>11. 投标人应针对本项目的配送工作人员必须持健康证上岗，具备专用配送车辆，并具有运输资质，要建立货物运输车辆的定期消毒制度，避免在运输过程中出现交叉污染及货物安全性出现问题。用于货物包装的材料必须清洁、无污染。货物的包装和标签必须符合相应的规定和要求。用于盛放货物的容器要清洁、干燥、牢固、无异味、无霉变现象，食品包装符合有关法规、标准的要求，包装完好无破损。投标人按规定进入配送地点的配送人员及运输工具，必须接受招标人统一管理。投标人拟派全部人员在招标人院内外发生任何安全事故及伤亡事故，均由投标人负完全责任。招标人不承担任何赔偿责任。</w:t>
            </w:r>
          </w:p>
          <w:p>
            <w:pPr>
              <w:pStyle w:val="null3"/>
              <w:jc w:val="both"/>
            </w:pPr>
            <w:r>
              <w:rPr>
                <w:rFonts w:ascii="仿宋_GB2312" w:hAnsi="仿宋_GB2312" w:cs="仿宋_GB2312" w:eastAsia="仿宋_GB2312"/>
                <w:sz w:val="20"/>
              </w:rPr>
              <w:t>12.应急保障方案：投标人应提供的自然灾害、公共卫生事件、停水、停电、重大疫情等情况下的应急保障方案。</w:t>
            </w:r>
          </w:p>
          <w:p>
            <w:pPr>
              <w:pStyle w:val="null3"/>
              <w:jc w:val="both"/>
            </w:pPr>
            <w:r>
              <w:rPr>
                <w:rFonts w:ascii="仿宋_GB2312" w:hAnsi="仿宋_GB2312" w:cs="仿宋_GB2312" w:eastAsia="仿宋_GB2312"/>
                <w:sz w:val="20"/>
              </w:rPr>
              <w:t>（三）价格计算</w:t>
            </w:r>
          </w:p>
          <w:p>
            <w:pPr>
              <w:pStyle w:val="null3"/>
              <w:jc w:val="both"/>
            </w:pPr>
            <w:r>
              <w:rPr>
                <w:rFonts w:ascii="仿宋_GB2312" w:hAnsi="仿宋_GB2312" w:cs="仿宋_GB2312" w:eastAsia="仿宋_GB2312"/>
                <w:sz w:val="20"/>
              </w:rPr>
              <w:t>1.供应价为投标人对招标人实际供货价。</w:t>
            </w:r>
          </w:p>
          <w:p>
            <w:pPr>
              <w:pStyle w:val="null3"/>
              <w:jc w:val="both"/>
            </w:pPr>
            <w:r>
              <w:rPr>
                <w:rFonts w:ascii="仿宋_GB2312" w:hAnsi="仿宋_GB2312" w:cs="仿宋_GB2312" w:eastAsia="仿宋_GB2312"/>
                <w:sz w:val="20"/>
              </w:rPr>
              <w:t>2.招标人有权随时抽查投标人的供货清单价格，发现投标人有弄虚作假行为的，招标人有权取消其成交资格，终止合同。</w:t>
            </w:r>
          </w:p>
          <w:p>
            <w:pPr>
              <w:pStyle w:val="null3"/>
              <w:jc w:val="both"/>
            </w:pPr>
            <w:r>
              <w:rPr>
                <w:rFonts w:ascii="仿宋_GB2312" w:hAnsi="仿宋_GB2312" w:cs="仿宋_GB2312" w:eastAsia="仿宋_GB2312"/>
                <w:sz w:val="20"/>
              </w:rPr>
              <w:t>3.投标人必须负责成交货物的运输、搬运等工作，所产生的费用由投标人负责。</w:t>
            </w:r>
          </w:p>
          <w:p>
            <w:pPr>
              <w:pStyle w:val="null3"/>
              <w:jc w:val="both"/>
            </w:pPr>
            <w:r>
              <w:rPr>
                <w:rFonts w:ascii="仿宋_GB2312" w:hAnsi="仿宋_GB2312" w:cs="仿宋_GB2312" w:eastAsia="仿宋_GB2312"/>
                <w:sz w:val="20"/>
              </w:rPr>
              <w:t>（四）付款方式</w:t>
            </w:r>
          </w:p>
          <w:p>
            <w:pPr>
              <w:pStyle w:val="null3"/>
              <w:jc w:val="both"/>
            </w:pPr>
            <w:r>
              <w:rPr>
                <w:rFonts w:ascii="仿宋_GB2312" w:hAnsi="仿宋_GB2312" w:cs="仿宋_GB2312" w:eastAsia="仿宋_GB2312"/>
                <w:sz w:val="20"/>
              </w:rPr>
              <w:t>按月支付费用。甲方根据乙方实际供应量，凭定价单和验收单，采用支票或转账的形式结算。结算价格以采购方当月询价标准</w:t>
            </w:r>
            <w:r>
              <w:rPr>
                <w:rFonts w:ascii="仿宋_GB2312" w:hAnsi="仿宋_GB2312" w:cs="仿宋_GB2312" w:eastAsia="仿宋_GB2312"/>
                <w:sz w:val="20"/>
              </w:rPr>
              <w:t>*供货数量*折扣比例，计算每月支付金额。支付程序：每月上旬，乙方根据以上方式确定的支付金额，提供每月结算金额的正规发票及相关附件，甲方在达到付款条件起 30 日内（节假日顺延），支付上月采购金额的 100.00%。</w:t>
            </w:r>
          </w:p>
          <w:p>
            <w:pPr>
              <w:pStyle w:val="null3"/>
              <w:jc w:val="both"/>
            </w:pPr>
            <w:r>
              <w:rPr>
                <w:rFonts w:ascii="仿宋_GB2312" w:hAnsi="仿宋_GB2312" w:cs="仿宋_GB2312" w:eastAsia="仿宋_GB2312"/>
                <w:sz w:val="20"/>
              </w:rPr>
              <w:t>（五）货物验收</w:t>
            </w:r>
          </w:p>
          <w:p>
            <w:pPr>
              <w:pStyle w:val="null3"/>
              <w:jc w:val="both"/>
            </w:pPr>
            <w:r>
              <w:rPr>
                <w:rFonts w:ascii="仿宋_GB2312" w:hAnsi="仿宋_GB2312" w:cs="仿宋_GB2312" w:eastAsia="仿宋_GB2312"/>
                <w:sz w:val="20"/>
              </w:rPr>
              <w:t>货物送至招标人指定交货地点后，由双方共同对货物进行验收，并签字确认。</w:t>
            </w:r>
          </w:p>
          <w:p>
            <w:pPr>
              <w:pStyle w:val="null3"/>
              <w:jc w:val="both"/>
            </w:pPr>
            <w:r>
              <w:rPr>
                <w:rFonts w:ascii="仿宋_GB2312" w:hAnsi="仿宋_GB2312" w:cs="仿宋_GB2312" w:eastAsia="仿宋_GB2312"/>
                <w:sz w:val="20"/>
                <w:b/>
              </w:rPr>
              <w:t>五、其他</w:t>
            </w:r>
          </w:p>
          <w:p>
            <w:pPr>
              <w:pStyle w:val="null3"/>
            </w:pP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质量验收标准或规范：符合国家标准。</w:t>
            </w:r>
          </w:p>
          <w:p>
            <w:pPr>
              <w:pStyle w:val="null3"/>
            </w:pP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产品质保期：无过期食品和邻近保质期食品。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供应商针对本项目的配送工作人员必须持健康证上岗。</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具备专用配送车辆，并具有运输资质，满足采购人及本项目要求。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1、成交供应商提供的产品必须是通过正规渠道采购，若发现成交供应商提供的产品属于假货，一经发现，进行处罚。 2、供应商根据食堂提供的所供食材的品牌、规格、大小、品种、数量、质量的要求准时向采购人提供配送服务； 3、供应商自备送货车（冷藏或恒温），安排专人及时供货，装卸费、送货费用及运输安全由供货方承担； 4、特殊情况下，职工食堂需要的小批量的急用物资，供应商应予以满足解决； 5、所有食材供应商必须按照采购方要求的种类、规格进行供货，满足采购方使用需求。所有食材采购及配送时间均以采购人通知为准，采购方有权根据实际需求量随时调整采购计划及供货时间段。</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见合同相关条款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1971378353@qq.com）。否则，采购代理机构可以向财政部门反映情况并提供相应的佐证。供应商一年内累计出现三次该情形，将被监管部门记录为失信行为。 3.4.2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3.4.3成交通知书发出后，成交单位需提供响应文件正本壹套、副本贰套且提供的响应文件纸质版与电子版必须与在陕西省政府采购综合管理平台项目电子化交易系统上提交的电子响应文件内容一致。3.4.4本项目付款方式：按月支付费用。甲方根据乙方实际供应量，凭定价单和验收单，采用支票或转账的形式结算。结算价格以采购方当月询价标准*供货数量*折扣比例，计算每月支付金额。支付程序：每月上旬，乙方根据以上方式确定的支付金额，提供每月结算金额的正规发票及相关附件，甲方在达到付款条件起 30 日内（节假日顺延），支付上月采购金额的 100.00%。3.4.5根据《关于推动解决政府采购异常低价问题的通知》（ 财库〔2026〕2号）规定，政府采购评审中出现下列情形之一的，评审委员会应当启动异常低价投标（响应）审查程序：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竞争性磋商文件第七章响应文件格式。不提供《基本资格条件承诺函》的供应商需提交以下资格证明文件：①提供2024或2025年度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②提供响应文件提交截止时间前一年内已缴纳的至少一个月的纳税证明或完税证明（印花税、个人所得税除外至少提供一种），纳税证明或完税证明上应有代收机构或税务机关的公章或业务专用章，依法免税的供应商应提供相应证明文件；③提供响应文件提交截止时间前一年内已缴存的至少一个月的社会保障资金缴存单据或社保机构开具的社会保险参保缴费情况证明，依法不需要缴纳社会保障资金的供应商应提供相应证明文件；④提供具有履行合同所必需的设备和专业技术能力的承诺；⑤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供应商是生产厂家的须提供食品生产许可证，供应商为经销商的须提供有效的食品经营许可证；</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技术和商务响应说明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首次磋商报价表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对合同条款的响应未出现负偏离且响应的内容中未附有采购人不能接受的附加条件</w:t>
            </w:r>
          </w:p>
        </w:tc>
        <w:tc>
          <w:tcPr>
            <w:tcW w:type="dxa" w:w="1661"/>
          </w:tcPr>
          <w:p>
            <w:pPr>
              <w:pStyle w:val="null3"/>
            </w:pPr>
            <w:r>
              <w:rPr>
                <w:rFonts w:ascii="仿宋_GB2312" w:hAnsi="仿宋_GB2312" w:cs="仿宋_GB2312" w:eastAsia="仿宋_GB2312"/>
              </w:rPr>
              <w:t>技术和商务响应说明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业绩证明材料 供应商承诺书 磋商服务方案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评审内容：①对整体项目的理解②整体服务方案③整体服务流程④食材配送方案 评审标准：方案各部分内容全面详细、阐述条理清晰详尽、符合本项目采购需求得8分；评审内容每缺一项扣2分。 评审内容有缺陷（缺陷是指：内容粗略、逻辑混乱、描述过于简单、与项目特点不匹配、凭空编造、逻辑漏洞、出现常识性错误、存在不适用项目实际情况的情形或只有标题没有实质性内容等）的扣1分。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产品供应渠道及质量保证</w:t>
            </w:r>
          </w:p>
        </w:tc>
        <w:tc>
          <w:tcPr>
            <w:tcW w:type="dxa" w:w="2492"/>
          </w:tcPr>
          <w:p>
            <w:pPr>
              <w:pStyle w:val="null3"/>
            </w:pPr>
            <w:r>
              <w:rPr>
                <w:rFonts w:ascii="仿宋_GB2312" w:hAnsi="仿宋_GB2312" w:cs="仿宋_GB2312" w:eastAsia="仿宋_GB2312"/>
              </w:rPr>
              <w:t>评审内容：①产品供应渠道②产品质量标准及保证措施 评审标准：方案各部分内容全面详细、阐述条理清晰详尽、产品供应渠道合法、符合本项目采购需求得6分；评审内容每缺一项扣3分。 评审内容有缺陷（缺陷是指：产品来源渠道证明材料不齐全、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运输车辆配备</w:t>
            </w:r>
          </w:p>
        </w:tc>
        <w:tc>
          <w:tcPr>
            <w:tcW w:type="dxa" w:w="2492"/>
          </w:tcPr>
          <w:p>
            <w:pPr>
              <w:pStyle w:val="null3"/>
            </w:pPr>
            <w:r>
              <w:rPr>
                <w:rFonts w:ascii="仿宋_GB2312" w:hAnsi="仿宋_GB2312" w:cs="仿宋_GB2312" w:eastAsia="仿宋_GB2312"/>
              </w:rPr>
              <w:t>评审内容：①车辆类型、数量、用途、配置说明、保温保鲜条件、使用年限、车况等②提供车辆证明材料。 评审标准：内容完整、配备车辆合理，符合项目需求得6分；评审内容每缺一项扣3分。 评审内容有缺陷（缺陷是指：配备车辆不合理、描述过于简单、与项目特点不匹配、存在不适用项目实际情况的情形、证明材料不全或只有标题没有实质性内容等）的扣1分。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项目重点难点分析及解决方案</w:t>
            </w:r>
          </w:p>
        </w:tc>
        <w:tc>
          <w:tcPr>
            <w:tcW w:type="dxa" w:w="2492"/>
          </w:tcPr>
          <w:p>
            <w:pPr>
              <w:pStyle w:val="null3"/>
            </w:pPr>
            <w:r>
              <w:rPr>
                <w:rFonts w:ascii="仿宋_GB2312" w:hAnsi="仿宋_GB2312" w:cs="仿宋_GB2312" w:eastAsia="仿宋_GB2312"/>
              </w:rPr>
              <w:t>评审内容：①本项目实施面临的重点、难点进行分析②对本项目重点、难点的解决方案。 评审标准：方案各部分内容全面详细、阐述条理清晰详尽、符合本项目采购需求得6分；评审内容每缺一项扣3分。 评审内容有缺陷（缺陷是指：内容粗略、逻辑混乱、描述过于简单、与项目特点不匹配、凭空编造、逻辑漏洞、出现常识性错误、存在不适用项目实际情况的情形或只有标题没有实质性内容等）的扣1分。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评审内容：①实施计划 ②项目人员管理③食品质量保障措施④配送进度保障措施 评审标准：方案各部分内容全面详细、阐述条理清晰详尽、符合本项目采购需求得8分；评审内容每缺一项扣2分。 评审内容有缺陷（缺陷是指：内容粗略、逻辑混乱、描述过于简单、与项目特点不匹配、凭空编造、逻辑漏洞、出现常识性错误、存在不适用项目实际情况的情形或只有标题没有实质性内容等）的扣1分。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评审内容：①仓储场地、设备及设施条件②仓储设备证明材料。 评审标准：方案各部分内容全面详细、阐述条理清晰详尽、符合本项目采购需求得4分；评审内容每缺一项扣2分。 评审内容有缺陷（缺陷是指：内容粗略、描述简单、证明（图片、合同）材料缺失、存在不适用项目实际情况的情形或只有标题没有实质性内容等）的扣1分。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评审内容：①详细人员配置名单②人员分工及配送人员具备健康证的承诺。 评审标准：方案各部分内容全面详细、阐述条理清晰详尽、符合本项目采购需求得4分；评审内容每缺一项扣2分。 评审内容有缺陷（缺陷是指：内容粗略、逻辑混乱、描述过于简单、与项目特点不匹配、凭空编造、逻辑漏洞、出现常识性错误、存在不适用项目实际情况的情形或只有标题没有实质性内容等）的扣1分。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具有完整的工作内部管理制度</w:t>
            </w:r>
          </w:p>
        </w:tc>
        <w:tc>
          <w:tcPr>
            <w:tcW w:type="dxa" w:w="2492"/>
          </w:tcPr>
          <w:p>
            <w:pPr>
              <w:pStyle w:val="null3"/>
            </w:pPr>
            <w:r>
              <w:rPr>
                <w:rFonts w:ascii="仿宋_GB2312" w:hAnsi="仿宋_GB2312" w:cs="仿宋_GB2312" w:eastAsia="仿宋_GB2312"/>
              </w:rPr>
              <w:t>评审内容：①岗位职责分工②内控制度③员工日常管理办法④奖惩措施。 评审标准:方案各部分内容全面详细、阐述条理清晰详尽、符合本项目采购需求得8分；评审内容每缺一项扣2分。 评审内容有缺陷（缺陷是指：内容粗略、逻辑混乱、描述过于简单、与项目特点不匹配、凭空编造、逻辑漏洞、出现常识性错误、存在不适用项目实际情况的情形或只有标题没有实质性内容等）的扣1分。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应急配送方案</w:t>
            </w:r>
          </w:p>
        </w:tc>
        <w:tc>
          <w:tcPr>
            <w:tcW w:type="dxa" w:w="2492"/>
          </w:tcPr>
          <w:p>
            <w:pPr>
              <w:pStyle w:val="null3"/>
            </w:pPr>
            <w:r>
              <w:rPr>
                <w:rFonts w:ascii="仿宋_GB2312" w:hAnsi="仿宋_GB2312" w:cs="仿宋_GB2312" w:eastAsia="仿宋_GB2312"/>
              </w:rPr>
              <w:t>评审内容：①针对采购人临时采购需求②恶劣天气影响③重大节假日或活动等特殊情况等制定应急处理方案④使用过程出现问题的补救措施。 评审标准：方案各部分内容全面详细、阐述条理清晰详尽、符合本项目采购需求得8分；评审内容每缺一项扣2分。 评审内容有缺陷（缺陷是指：内容粗略、逻辑混乱、描述过于简单、与项目特点不匹配、凭空编造、逻辑漏洞、出现常识性错误、存在不适用项目实际情况的情形或只有标题没有实质性内容等）的扣1分。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针对本项目提出的服务方案和承诺</w:t>
            </w:r>
          </w:p>
        </w:tc>
        <w:tc>
          <w:tcPr>
            <w:tcW w:type="dxa" w:w="2492"/>
          </w:tcPr>
          <w:p>
            <w:pPr>
              <w:pStyle w:val="null3"/>
            </w:pPr>
            <w:r>
              <w:rPr>
                <w:rFonts w:ascii="仿宋_GB2312" w:hAnsi="仿宋_GB2312" w:cs="仿宋_GB2312" w:eastAsia="仿宋_GB2312"/>
              </w:rPr>
              <w:t>评审内容：①服务标准②服务内容③服务承诺④食品安全保障措施。 评审标准：方案各部分内容全面详细、阐述条理清晰详尽、符合本项目采购需求得8分；评审内容每缺一项扣2分。 评审内容有缺陷（缺陷是指：内容粗略、逻辑混乱、描述过于简单、与项目特点不匹配、凭空编造、逻辑漏洞、出现常识性错误、存在不适用项目实际情况的情形或只有标题没有实质性内容等）的扣1分。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供应商提供2023年1月（以合同签订时间为准）至本项目磋商响应文件递交截止时间止同类项目合同，每提供一个得1分，最高得4分。注：业绩须提供合同复印件(加盖供应商公章)。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1.实质性满足磋商文件要求且最终报价最低的有效报价为评标基准价,其价格分值为满分30分。 2.磋商报价得分=（磋商基准价/最终磋商报价）×30。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详见附件：首次磋商报价表</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详见附件：磋商服务方案</w:t>
      </w:r>
    </w:p>
    <w:p>
      <w:pPr>
        <w:pStyle w:val="null3"/>
        <w:ind w:firstLine="960"/>
      </w:pPr>
      <w:r>
        <w:rPr>
          <w:rFonts w:ascii="仿宋_GB2312" w:hAnsi="仿宋_GB2312" w:cs="仿宋_GB2312" w:eastAsia="仿宋_GB2312"/>
        </w:rPr>
        <w:t>详见附件：技术和商务响应说明</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