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版本号：SZT2026-SN-QC-ZC-FW-030220260416001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精神障碍社区康复服务项目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SZT2026-SN-QC-ZC-FW-0302</w:t>
      </w:r>
      <w:r>
        <w:br/>
      </w:r>
      <w:r>
        <w:br/>
      </w:r>
      <w:r>
        <w:br/>
      </w:r>
    </w:p>
    <w:p>
      <w:pPr>
        <w:pStyle w:val="null3"/>
        <w:jc w:val="center"/>
        <w:outlineLvl w:val="2"/>
      </w:pPr>
      <w:r>
        <w:rPr>
          <w:rFonts w:ascii="仿宋_GB2312" w:hAnsi="仿宋_GB2312" w:cs="仿宋_GB2312" w:eastAsia="仿宋_GB2312"/>
          <w:sz w:val="28"/>
          <w:b/>
        </w:rPr>
        <w:t>西安市未央区老龄工作发展服务中心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西安市未央区老龄工作发展服务中心</w:t>
      </w:r>
      <w:r>
        <w:rPr>
          <w:rFonts w:ascii="仿宋_GB2312" w:hAnsi="仿宋_GB2312" w:cs="仿宋_GB2312" w:eastAsia="仿宋_GB2312"/>
        </w:rPr>
        <w:t>委托，拟对</w:t>
      </w:r>
      <w:r>
        <w:rPr>
          <w:rFonts w:ascii="仿宋_GB2312" w:hAnsi="仿宋_GB2312" w:cs="仿宋_GB2312" w:eastAsia="仿宋_GB2312"/>
        </w:rPr>
        <w:t>精神障碍社区康复服务项目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SZT2026-SN-QC-ZC-FW-0302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精神障碍社区康复服务项目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西安市未央区精神障碍社区康复服务，为未央区精神障碍社区康复患者登记建档、提供康复服务。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采购包1（精神障碍社区康复服务项目）：属于专门面向中小企业采购。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西安市未央区老龄工作发展服务中心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未央区未央路109号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029-86335215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开户名称：陕西中技招标有限公司，开户行名称：招商银行西安分行营业部，账号：129916812810001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西安市未央区老龄工作发展服务中心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西安市未央区老龄工作发展服务中心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西安市未央区老龄工作发展服务中心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西安市未央区精神障碍社区康复服务，为未央区精神障碍社区康复患者登记建档、提供康复服务。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422,000.00</w:t>
      </w:r>
    </w:p>
    <w:p>
      <w:pPr>
        <w:pStyle w:val="null3"/>
      </w:pPr>
      <w:r>
        <w:rPr>
          <w:rFonts w:ascii="仿宋_GB2312" w:hAnsi="仿宋_GB2312" w:cs="仿宋_GB2312" w:eastAsia="仿宋_GB2312"/>
        </w:rPr>
        <w:t>采购包最高限价（元）: 422,000.00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精神障碍社区康复服务项目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标的名称：精神障碍社区康复服务项目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w:t>
            </w:r>
            <w:r>
              <w:rPr>
                <w:rFonts w:ascii="仿宋_GB2312" w:hAnsi="仿宋_GB2312" w:cs="仿宋_GB2312" w:eastAsia="仿宋_GB2312"/>
              </w:rPr>
              <w:t>主要功能或目标：</w:t>
            </w:r>
          </w:p>
          <w:p>
            <w:pPr>
              <w:pStyle w:val="null3"/>
              <w:ind w:firstLine="482"/>
              <w:jc w:val="left"/>
            </w:pPr>
            <w:r>
              <w:rPr>
                <w:rFonts w:ascii="仿宋_GB2312" w:hAnsi="仿宋_GB2312" w:cs="仿宋_GB2312" w:eastAsia="仿宋_GB2312"/>
              </w:rPr>
              <w:t>（一）登记建档及基线评估。每年精神障碍社区康复患者登记建档人数至少</w:t>
            </w:r>
            <w:r>
              <w:rPr>
                <w:rFonts w:ascii="仿宋_GB2312" w:hAnsi="仿宋_GB2312" w:cs="仿宋_GB2312" w:eastAsia="仿宋_GB2312"/>
              </w:rPr>
              <w:t>300</w:t>
            </w:r>
            <w:r>
              <w:rPr>
                <w:rFonts w:ascii="仿宋_GB2312" w:hAnsi="仿宋_GB2312" w:cs="仿宋_GB2312" w:eastAsia="仿宋_GB2312"/>
              </w:rPr>
              <w:t>人以上。在详细了解患者精神和身体健康状况、家庭结构、成长过程等情况的基础上，对患者进行规范登记建档，填写《基本情况登记表》并签订服务协议。</w:t>
            </w:r>
          </w:p>
          <w:p>
            <w:pPr>
              <w:pStyle w:val="null3"/>
              <w:ind w:firstLine="482"/>
              <w:jc w:val="left"/>
            </w:pPr>
            <w:r>
              <w:rPr>
                <w:rFonts w:ascii="仿宋_GB2312" w:hAnsi="仿宋_GB2312" w:cs="仿宋_GB2312" w:eastAsia="仿宋_GB2312"/>
              </w:rPr>
              <w:t>收集患者资料并填写《心理社会功能评估表》、《精神状况综合评估表》</w:t>
            </w:r>
            <w:r>
              <w:rPr>
                <w:rFonts w:ascii="仿宋_GB2312" w:hAnsi="仿宋_GB2312" w:cs="仿宋_GB2312" w:eastAsia="仿宋_GB2312"/>
              </w:rPr>
              <w:t>。</w:t>
            </w:r>
          </w:p>
          <w:p>
            <w:pPr>
              <w:pStyle w:val="null3"/>
              <w:ind w:firstLine="482"/>
              <w:jc w:val="left"/>
            </w:pPr>
            <w:r>
              <w:rPr>
                <w:rFonts w:ascii="仿宋_GB2312" w:hAnsi="仿宋_GB2312" w:cs="仿宋_GB2312" w:eastAsia="仿宋_GB2312"/>
              </w:rPr>
              <w:t>（二）提供康复服务。每年为</w:t>
            </w:r>
            <w:r>
              <w:rPr>
                <w:rFonts w:ascii="仿宋_GB2312" w:hAnsi="仿宋_GB2312" w:cs="仿宋_GB2312" w:eastAsia="仿宋_GB2312"/>
              </w:rPr>
              <w:t>60%</w:t>
            </w:r>
            <w:r>
              <w:rPr>
                <w:rFonts w:ascii="仿宋_GB2312" w:hAnsi="仿宋_GB2312" w:cs="仿宋_GB2312" w:eastAsia="仿宋_GB2312"/>
              </w:rPr>
              <w:t>以上的登记建档患者提供康复服务，定期开展过程评估。康复服务内容包括服药训练、预防复发训练、躯体管理训练、生活技能训练、社交技能训练、职业康复训练、心理康复、同伴支持、家庭支持等；可采取入户服务、集中训练、讲座授课、小组活动、一对一指导、场景模拟、交流互助等方式进行；训练前需对患者进行专业评估，确保患者适合该项服务，同时进行环境安全评估。</w:t>
            </w:r>
          </w:p>
          <w:p>
            <w:pPr>
              <w:pStyle w:val="null3"/>
              <w:ind w:firstLine="482"/>
              <w:jc w:val="left"/>
            </w:pPr>
            <w:r>
              <w:rPr>
                <w:rFonts w:ascii="仿宋_GB2312" w:hAnsi="仿宋_GB2312" w:cs="仿宋_GB2312" w:eastAsia="仿宋_GB2312"/>
              </w:rPr>
              <w:t>（三）培训与宣传。组织精神障碍社区康复服务人员培训，每年至少</w:t>
            </w:r>
            <w:r>
              <w:rPr>
                <w:rFonts w:ascii="仿宋_GB2312" w:hAnsi="仿宋_GB2312" w:cs="仿宋_GB2312" w:eastAsia="仿宋_GB2312"/>
              </w:rPr>
              <w:t>2</w:t>
            </w:r>
            <w:r>
              <w:rPr>
                <w:rFonts w:ascii="仿宋_GB2312" w:hAnsi="仿宋_GB2312" w:cs="仿宋_GB2312" w:eastAsia="仿宋_GB2312"/>
              </w:rPr>
              <w:t>次；开展各种形式的宣传，引导社区居民接纳精神障碍患者，为精神障碍患者提供良好的社区融入环境。</w:t>
            </w:r>
          </w:p>
          <w:p>
            <w:pPr>
              <w:pStyle w:val="null3"/>
              <w:ind w:firstLine="400"/>
              <w:jc w:val="both"/>
            </w:pPr>
            <w:r>
              <w:rPr>
                <w:rFonts w:ascii="仿宋_GB2312" w:hAnsi="仿宋_GB2312" w:cs="仿宋_GB2312" w:eastAsia="仿宋_GB2312"/>
              </w:rPr>
              <w:t>需满足的要求：具有履约能力，至少配备</w:t>
            </w:r>
            <w:r>
              <w:rPr>
                <w:rFonts w:ascii="仿宋_GB2312" w:hAnsi="仿宋_GB2312" w:cs="仿宋_GB2312" w:eastAsia="仿宋_GB2312"/>
              </w:rPr>
              <w:t>2</w:t>
            </w:r>
            <w:r>
              <w:rPr>
                <w:rFonts w:ascii="仿宋_GB2312" w:hAnsi="仿宋_GB2312" w:cs="仿宋_GB2312" w:eastAsia="仿宋_GB2312"/>
              </w:rPr>
              <w:t>名工作人员</w:t>
            </w:r>
            <w:r>
              <w:rPr>
                <w:rFonts w:ascii="仿宋_GB2312" w:hAnsi="仿宋_GB2312" w:cs="仿宋_GB2312" w:eastAsia="仿宋_GB2312"/>
              </w:rPr>
              <w:t>。</w:t>
            </w:r>
          </w:p>
          <w:p>
            <w:pPr>
              <w:pStyle w:val="null3"/>
              <w:jc w:val="both"/>
            </w:pPr>
            <w:r>
              <w:rPr>
                <w:rFonts w:ascii="仿宋_GB2312" w:hAnsi="仿宋_GB2312" w:cs="仿宋_GB2312" w:eastAsia="仿宋_GB2312"/>
              </w:rPr>
              <w:t>二、服务清单</w:t>
            </w:r>
          </w:p>
          <w:tbl>
            <w:tblPr>
              <w:tblInd w:type="dxa" w:w="210"/>
              <w:tblBorders>
                <w:top w:val="none" w:color="000000" w:sz="4"/>
                <w:left w:val="none" w:color="000000" w:sz="4"/>
                <w:bottom w:val="none" w:color="000000" w:sz="4"/>
                <w:right w:val="none" w:color="000000" w:sz="4"/>
                <w:insideH w:val="none"/>
                <w:insideV w:val="none"/>
              </w:tblBorders>
            </w:tblPr>
            <w:tblGrid>
              <w:gridCol w:w="506"/>
              <w:gridCol w:w="799"/>
              <w:gridCol w:w="454"/>
              <w:gridCol w:w="782"/>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服务类型</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项目名称</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指标数</w:t>
                  </w: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基础服务</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登记建档及基线评估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1.5小时/次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r>
                    <w:rPr>
                      <w:rFonts w:ascii="仿宋_GB2312" w:hAnsi="仿宋_GB2312" w:cs="仿宋_GB2312" w:eastAsia="仿宋_GB2312"/>
                      <w:sz w:val="16"/>
                      <w:color w:val="000000"/>
                    </w:rPr>
                    <w:t>300人次</w:t>
                  </w: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过程评估</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1.5小时/次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≥400人次</w:t>
                  </w:r>
                </w:p>
              </w:tc>
            </w:tr>
            <w:tr>
              <w:tc>
                <w:tcPr>
                  <w:tcW w:type="dxa" w:w="5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康复训练</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服药训练</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1小时/次</w:t>
                  </w: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≥4325人次</w:t>
                  </w: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躯体训练</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生活及社交技能训练</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同伴支持</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职业康复训练</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6小时/次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≥60人次</w:t>
                  </w:r>
                </w:p>
              </w:tc>
            </w:tr>
            <w:tr>
              <w:tc>
                <w:tcPr>
                  <w:tcW w:type="dxa" w:w="506"/>
                  <w:vMerge/>
                  <w:tcBorders>
                    <w:top w:val="none" w:color="000000" w:sz="4"/>
                    <w:left w:val="single" w:color="000000" w:sz="4"/>
                    <w:bottom w:val="singl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心理治疗</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1小时/次</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≥400人次</w:t>
                  </w:r>
                </w:p>
              </w:tc>
            </w:tr>
            <w:tr>
              <w:tc>
                <w:tcPr>
                  <w:tcW w:type="dxa" w:w="50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培训授课</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药物知识培训</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2小时/场（</w:t>
                  </w:r>
                  <w:r>
                    <w:rPr>
                      <w:rFonts w:ascii="仿宋_GB2312" w:hAnsi="仿宋_GB2312" w:cs="仿宋_GB2312" w:eastAsia="仿宋_GB2312"/>
                      <w:sz w:val="16"/>
                      <w:color w:val="000000"/>
                    </w:rPr>
                    <w:t>≥</w:t>
                  </w:r>
                  <w:r>
                    <w:rPr>
                      <w:rFonts w:ascii="仿宋_GB2312" w:hAnsi="仿宋_GB2312" w:cs="仿宋_GB2312" w:eastAsia="仿宋_GB2312"/>
                      <w:sz w:val="16"/>
                      <w:color w:val="000000"/>
                    </w:rPr>
                    <w:t>20人）</w:t>
                  </w: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r>
                    <w:rPr>
                      <w:rFonts w:ascii="仿宋_GB2312" w:hAnsi="仿宋_GB2312" w:cs="仿宋_GB2312" w:eastAsia="仿宋_GB2312"/>
                      <w:sz w:val="16"/>
                      <w:color w:val="000000"/>
                    </w:rPr>
                    <w:t>场</w:t>
                  </w:r>
                </w:p>
              </w:tc>
            </w:tr>
            <w:tr>
              <w:tc>
                <w:tcPr>
                  <w:tcW w:type="dxa" w:w="506"/>
                  <w:vMerge/>
                  <w:tcBorders>
                    <w:top w:val="none" w:color="000000" w:sz="4"/>
                    <w:left w:val="single" w:color="000000" w:sz="4"/>
                    <w:bottom w:val="non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社交理论培训</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non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工作基本技能培训</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non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预防复发培训</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2小时/场（≥20人）</w:t>
                  </w:r>
                </w:p>
              </w:tc>
              <w:tc>
                <w:tcPr>
                  <w:tcW w:type="dxa" w:w="7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≥21</w:t>
                  </w:r>
                  <w:r>
                    <w:rPr>
                      <w:rFonts w:ascii="仿宋_GB2312" w:hAnsi="仿宋_GB2312" w:cs="仿宋_GB2312" w:eastAsia="仿宋_GB2312"/>
                      <w:sz w:val="16"/>
                      <w:color w:val="000000"/>
                    </w:rPr>
                    <w:t>场</w:t>
                  </w:r>
                </w:p>
              </w:tc>
            </w:tr>
            <w:tr>
              <w:tc>
                <w:tcPr>
                  <w:tcW w:type="dxa" w:w="506"/>
                  <w:vMerge/>
                  <w:tcBorders>
                    <w:top w:val="none" w:color="000000" w:sz="4"/>
                    <w:left w:val="single" w:color="000000" w:sz="4"/>
                    <w:bottom w:val="non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指导用药培训</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vMerge/>
                  <w:tcBorders>
                    <w:top w:val="none" w:color="000000" w:sz="4"/>
                    <w:left w:val="single" w:color="000000" w:sz="4"/>
                    <w:bottom w:val="none" w:color="000000" w:sz="4"/>
                    <w:right w:val="single" w:color="000000" w:sz="4"/>
                  </w:tcBorders>
                </w:tcP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家庭支持</w:t>
                  </w:r>
                </w:p>
              </w:tc>
              <w:tc>
                <w:tcPr>
                  <w:tcW w:type="dxa" w:w="454"/>
                  <w:vMerge/>
                  <w:tcBorders>
                    <w:top w:val="none" w:color="000000" w:sz="4"/>
                    <w:left w:val="none" w:color="000000" w:sz="4"/>
                    <w:bottom w:val="single" w:color="000000" w:sz="4"/>
                    <w:right w:val="single" w:color="000000" w:sz="4"/>
                  </w:tcBorders>
                </w:tcPr>
                <w:p/>
              </w:tc>
              <w:tc>
                <w:tcPr>
                  <w:tcW w:type="dxa" w:w="782"/>
                  <w:vMerge/>
                  <w:tcBorders>
                    <w:top w:val="none" w:color="000000" w:sz="4"/>
                    <w:left w:val="none" w:color="000000" w:sz="4"/>
                    <w:bottom w:val="single" w:color="000000" w:sz="4"/>
                    <w:right w:val="single" w:color="000000" w:sz="4"/>
                  </w:tcBorders>
                </w:tcPr>
                <w:p/>
              </w:tc>
            </w:tr>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入户服务</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入户</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2小时/户</w:t>
                  </w: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≥400人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采购人指定地点：西安市未央区。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周期结束后委托第三方机构对承接主体履行合同情况及开展服务进行验收，以现行的国家标准或国家行政部门颁布的法律法规、规章制度等，是项目验收的重要依据。没有国家标准的，可以参考行业标准及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供应商完成合同量化指标的50%，经中期评估合格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供应商完成全部服务量化指标且服务期满，经末期评估合格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按《中华人民共和国民法典》中的相关条款执行。二、解决争议:双方首先进行友好协商解决，如协商不成，任何一方可向采购人所在地有管辖权的人民法院提起诉讼。三、服务项目供应商未按照要求开展服务或服务达不到要求，根据已产生的服务进行核算，对于不达标的服务费用按照比例扣除。</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 2、定标环节采购人有权对投标文件承诺响应的内容进行复核，如有虚假响应，一经发现，取消成交资格并上报财政主管部门，列入政府采购黑名单。3、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报价表及分项报价表.docx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（1）付款方式、服务期限是否完全响应；（2）响应文件有效期是否合格；</w:t>
            </w:r>
          </w:p>
        </w:tc>
        <w:tc>
          <w:tcPr>
            <w:tcW w:type="dxa" w:w="3322"/>
          </w:tcPr>
          <w:p>
            <w:pPr>
              <w:pStyle w:val="null3"/>
            </w:pPr>
            <w:r>
              <w:rPr>
                <w:rFonts w:ascii="仿宋_GB2312" w:hAnsi="仿宋_GB2312" w:cs="仿宋_GB2312" w:eastAsia="仿宋_GB2312"/>
              </w:rPr>
              <w:t>（1）付款方式、服务期限是否完全响应； （2）响应文件有效期是否合格；</w:t>
            </w:r>
          </w:p>
        </w:tc>
        <w:tc>
          <w:tcPr>
            <w:tcW w:type="dxa" w:w="1661"/>
          </w:tcPr>
          <w:p>
            <w:pPr>
              <w:pStyle w:val="null3"/>
            </w:pPr>
            <w:r>
              <w:rPr>
                <w:rFonts w:ascii="仿宋_GB2312" w:hAnsi="仿宋_GB2312" w:cs="仿宋_GB2312" w:eastAsia="仿宋_GB2312"/>
              </w:rPr>
              <w:t>服务偏差表.docx 商务偏离表.docx 报价表及分项报价表.docx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服务要求响应性审查</w:t>
            </w:r>
          </w:p>
        </w:tc>
        <w:tc>
          <w:tcPr>
            <w:tcW w:type="dxa" w:w="3322"/>
          </w:tcPr>
          <w:p>
            <w:pPr>
              <w:pStyle w:val="null3"/>
            </w:pPr>
            <w:r>
              <w:rPr>
                <w:rFonts w:ascii="仿宋_GB2312" w:hAnsi="仿宋_GB2312" w:cs="仿宋_GB2312" w:eastAsia="仿宋_GB2312"/>
              </w:rPr>
              <w:t>磋商响应文件是否满足采购要求</w:t>
            </w:r>
          </w:p>
        </w:tc>
        <w:tc>
          <w:tcPr>
            <w:tcW w:type="dxa" w:w="1661"/>
          </w:tcPr>
          <w:p>
            <w:pPr>
              <w:pStyle w:val="null3"/>
            </w:pPr>
            <w:r>
              <w:rPr>
                <w:rFonts w:ascii="仿宋_GB2312" w:hAnsi="仿宋_GB2312" w:cs="仿宋_GB2312" w:eastAsia="仿宋_GB2312"/>
              </w:rPr>
              <w:t>服务偏差表.docx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服务偏差表.docx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按照采购人需求，针对本项目制定完整、 具体的服务措施，根据响应程度自主赋分： 服务措施内容符合采购人需求，有针对性，详细、具体得10分；服务措施内容较有针对性，较详细、具体得8分；服务措施内容一般、针对性不强，得6分；服务措施内容针对性较差且存在不足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根据供应商提供的针对本项目制定相应的服务管理制度（包括但不限于服务质量管理制度、服务反馈制度、服务考核奖惩、服务对象档案管理制度、信息管理制度（含信息安全、舆论处置等）、工作人员守则等内容等）进行评分：各项管理制度科学、合理、符合实际需要，操作性强得10分；各项管理制度较为科学、合理、较能符合实际需求，操作性较强得8分；管理制度基本能够满足项目需求得6分，有重大缺陷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根据供应商针对本项目提出适用于本项目的方案内容包括：①项目实施进度目标分析②项目进度保障措施两部分，项目实施进度分析描述明确，保障措施科学全面，可实施性强得10分，项目实施进度分析描述较为明确，保障措施较为科学全面，可实施性较强得8分，项目实施进度分析描述一般，保障措施一般，可实施性一般得6分，有重大缺陷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场所配备</w:t>
            </w:r>
          </w:p>
        </w:tc>
        <w:tc>
          <w:tcPr>
            <w:tcW w:type="dxa" w:w="2492"/>
          </w:tcPr>
          <w:p>
            <w:pPr>
              <w:pStyle w:val="null3"/>
            </w:pPr>
            <w:r>
              <w:rPr>
                <w:rFonts w:ascii="仿宋_GB2312" w:hAnsi="仿宋_GB2312" w:cs="仿宋_GB2312" w:eastAsia="仿宋_GB2312"/>
              </w:rPr>
              <w:t>根据供应商提供的场所配备情况进行评分：项目场所配备康复活动区、阅读室、职业康复区、心理咨询室、户外活动区、日间休息室等功能区域齐全、合理、满足采购需求得10分；项目场所配备较为齐全、较合理的得8分；项目场地配备基本满足项目日常需要的得 6分，有重大缺陷得3分；未提供不得分。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服务团队：搭建由精神科医师、职业社工、心理咨询、康复师等专业技术人员的专业服务团队，在服务期内保持人员相对稳定。服务团队工作人员应当具有相应工作岗位所匹配的资质资格。①配备1名心理咨询师得1分；②配备1名职业社工人员得1分；③每配备1名兼职精神科执业医师，得2分，最多6分；④每配备1名康复师的，得1分，最多2分。需提供人员资格证书复印件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供应商根据对项目得理解，分析项目实施过程中的潜在重难点工作，并提出解决方案。重难点把握准确，解决方案合理得5分，重难点把握一般得，解决方案较合理得3分，重难点把握不准确得1分；未提供不得分。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根据供应商提供的风险预案进行评分：对执行中可能遇到的风险有全面预测，并有合理可行、针对性的风险应对方案，应急处理方案响应速度快、实施效率高的得5分；对项目实施过程中可能遇到的风险有合理预测，且提供较为合理可行的风险应对方案的得3分；对项目实施过程中可能遇到的风险有一定程度了解，风险应对方案可行性欠缺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服务承诺符合项目实际要求得5分，服务承诺较符合项目实际要求得3分，服务承诺与本项目实际情况不相符，得1分。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具有2023年1月1日至今（以合同签订时间为准）类似项目的业绩，响应文件中提供合同复印件加盖公章，每提供一份得1分，最高得5分。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以本次最后报价最低的供应商的价格为磋商基准价，其价格分为满分。其他供应商的价格分统一按照下 列公式计算：报价得分=(磋商基准价／最后磋商报价)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报价表及分项报价表.docx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详见附件：报价表及分项报价表.docx</w:t>
      </w:r>
    </w:p>
    <w:p>
      <w:pPr>
        <w:pStyle w:val="null3"/>
        <w:ind w:firstLine="960"/>
      </w:pPr>
      <w:r>
        <w:rPr>
          <w:rFonts w:ascii="仿宋_GB2312" w:hAnsi="仿宋_GB2312" w:cs="仿宋_GB2312" w:eastAsia="仿宋_GB2312"/>
        </w:rPr>
        <w:t>详见附件：服务方案及供应商认为需要提供的其他资料.docx</w:t>
      </w:r>
    </w:p>
    <w:p>
      <w:pPr>
        <w:pStyle w:val="null3"/>
        <w:ind w:firstLine="960"/>
      </w:pPr>
      <w:r>
        <w:rPr>
          <w:rFonts w:ascii="仿宋_GB2312" w:hAnsi="仿宋_GB2312" w:cs="仿宋_GB2312" w:eastAsia="仿宋_GB2312"/>
        </w:rPr>
        <w:t>详见附件：服务偏差表.docx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