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861DF">
      <w:pPr>
        <w:jc w:val="center"/>
        <w:rPr>
          <w:rFonts w:hint="eastAsia" w:ascii="仿宋" w:hAnsi="仿宋" w:cs="仿宋"/>
          <w:b/>
          <w:bCs/>
          <w:color w:val="auto"/>
          <w:sz w:val="32"/>
          <w:szCs w:val="32"/>
          <w:highlight w:val="none"/>
          <w:lang w:eastAsia="zh-CN"/>
        </w:rPr>
      </w:pPr>
    </w:p>
    <w:p w14:paraId="018B422F">
      <w:pPr>
        <w:jc w:val="center"/>
        <w:rPr>
          <w:rFonts w:hint="eastAsia" w:ascii="仿宋" w:hAnsi="仿宋" w:cs="仿宋"/>
          <w:b/>
          <w:bCs/>
          <w:color w:val="auto"/>
          <w:sz w:val="32"/>
          <w:szCs w:val="32"/>
          <w:highlight w:val="none"/>
          <w:lang w:eastAsia="zh-CN"/>
        </w:rPr>
      </w:pPr>
    </w:p>
    <w:p w14:paraId="1DBC7A6E">
      <w:pPr>
        <w:jc w:val="center"/>
        <w:rPr>
          <w:rFonts w:hint="eastAsia" w:ascii="仿宋" w:hAnsi="仿宋" w:cs="仿宋"/>
          <w:b/>
          <w:bCs/>
          <w:color w:val="auto"/>
          <w:sz w:val="32"/>
          <w:szCs w:val="32"/>
          <w:highlight w:val="none"/>
          <w:lang w:eastAsia="zh-CN"/>
        </w:rPr>
      </w:pPr>
    </w:p>
    <w:p w14:paraId="56106EC5">
      <w:pPr>
        <w:jc w:val="center"/>
        <w:rPr>
          <w:rFonts w:hint="eastAsia" w:ascii="仿宋" w:hAnsi="仿宋" w:cs="仿宋"/>
          <w:b/>
          <w:bCs/>
          <w:color w:val="auto"/>
          <w:sz w:val="32"/>
          <w:szCs w:val="32"/>
          <w:highlight w:val="none"/>
          <w:lang w:eastAsia="zh-CN"/>
        </w:rPr>
      </w:pPr>
      <w:bookmarkStart w:id="52" w:name="_GoBack"/>
      <w:bookmarkEnd w:id="52"/>
    </w:p>
    <w:p w14:paraId="4CB77731">
      <w:pPr>
        <w:jc w:val="center"/>
        <w:rPr>
          <w:rFonts w:hint="eastAsia" w:ascii="仿宋" w:hAnsi="仿宋" w:cs="仿宋"/>
          <w:b/>
          <w:bCs/>
          <w:color w:val="auto"/>
          <w:sz w:val="32"/>
          <w:szCs w:val="32"/>
          <w:highlight w:val="none"/>
          <w:lang w:eastAsia="zh-CN"/>
        </w:rPr>
      </w:pPr>
      <w:r>
        <w:rPr>
          <w:rFonts w:hint="eastAsia" w:ascii="仿宋" w:hAnsi="仿宋" w:cs="仿宋"/>
          <w:b/>
          <w:bCs/>
          <w:color w:val="auto"/>
          <w:sz w:val="32"/>
          <w:szCs w:val="32"/>
          <w:highlight w:val="none"/>
          <w:lang w:eastAsia="zh-CN"/>
        </w:rPr>
        <w:t>精神障碍社区康复服务项目</w:t>
      </w:r>
    </w:p>
    <w:p w14:paraId="5CCDB06F">
      <w:pPr>
        <w:jc w:val="center"/>
        <w:rPr>
          <w:rFonts w:hint="eastAsia" w:ascii="仿宋" w:hAnsi="仿宋" w:cs="仿宋"/>
          <w:b/>
          <w:bCs/>
          <w:color w:val="auto"/>
          <w:sz w:val="32"/>
          <w:szCs w:val="32"/>
          <w:highlight w:val="none"/>
          <w:lang w:val="en-US" w:eastAsia="zh-CN"/>
        </w:rPr>
      </w:pPr>
      <w:r>
        <w:rPr>
          <w:rFonts w:hint="eastAsia" w:ascii="仿宋" w:hAnsi="仿宋" w:cs="仿宋"/>
          <w:b/>
          <w:bCs/>
          <w:color w:val="auto"/>
          <w:sz w:val="32"/>
          <w:szCs w:val="32"/>
          <w:highlight w:val="none"/>
          <w:lang w:val="en-US" w:eastAsia="zh-CN"/>
        </w:rPr>
        <w:t xml:space="preserve"> </w:t>
      </w:r>
    </w:p>
    <w:p w14:paraId="5290BEAC">
      <w:pPr>
        <w:pStyle w:val="3"/>
        <w:rPr>
          <w:rFonts w:hint="eastAsia"/>
          <w:color w:val="auto"/>
          <w:highlight w:val="none"/>
        </w:rPr>
      </w:pPr>
    </w:p>
    <w:p w14:paraId="53713B51">
      <w:pPr>
        <w:jc w:val="center"/>
        <w:rPr>
          <w:rFonts w:hint="eastAsia" w:ascii="仿宋" w:hAnsi="仿宋" w:eastAsia="仿宋" w:cs="仿宋"/>
          <w:b/>
          <w:color w:val="auto"/>
          <w:sz w:val="48"/>
          <w:szCs w:val="48"/>
          <w:highlight w:val="none"/>
        </w:rPr>
      </w:pPr>
    </w:p>
    <w:p w14:paraId="155A4E57">
      <w:pPr>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采 购 合 同</w:t>
      </w:r>
    </w:p>
    <w:p w14:paraId="4B662C47">
      <w:pPr>
        <w:spacing w:line="360" w:lineRule="auto"/>
        <w:jc w:val="center"/>
        <w:rPr>
          <w:rFonts w:hint="default" w:ascii="仿宋" w:hAnsi="仿宋" w:eastAsia="仿宋" w:cs="仿宋"/>
          <w:color w:val="auto"/>
          <w:sz w:val="28"/>
          <w:szCs w:val="28"/>
          <w:highlight w:val="none"/>
          <w:lang w:val="en-US" w:eastAsia="zh-CN"/>
        </w:rPr>
      </w:pPr>
      <w:r>
        <w:rPr>
          <w:rFonts w:hint="eastAsia" w:ascii="仿宋" w:hAnsi="仿宋" w:cs="仿宋"/>
          <w:color w:val="auto"/>
          <w:sz w:val="28"/>
          <w:szCs w:val="28"/>
          <w:highlight w:val="none"/>
          <w:lang w:eastAsia="zh-CN"/>
        </w:rPr>
        <w:t>（</w:t>
      </w:r>
      <w:r>
        <w:rPr>
          <w:rFonts w:hint="eastAsia" w:ascii="仿宋" w:hAnsi="仿宋" w:eastAsia="仿宋" w:cs="仿宋"/>
          <w:b/>
          <w:color w:val="auto"/>
          <w:sz w:val="28"/>
          <w:szCs w:val="28"/>
          <w:highlight w:val="none"/>
        </w:rPr>
        <w:t>项目编号：</w:t>
      </w:r>
      <w:r>
        <w:rPr>
          <w:rFonts w:hint="eastAsia" w:ascii="仿宋" w:hAnsi="仿宋" w:cs="仿宋"/>
          <w:color w:val="auto"/>
          <w:sz w:val="28"/>
          <w:szCs w:val="28"/>
          <w:highlight w:val="none"/>
          <w:lang w:val="en-US" w:eastAsia="zh-CN"/>
        </w:rPr>
        <w:t>)</w:t>
      </w:r>
    </w:p>
    <w:p w14:paraId="5E767968">
      <w:pPr>
        <w:jc w:val="center"/>
        <w:rPr>
          <w:rFonts w:hint="eastAsia" w:ascii="仿宋" w:hAnsi="仿宋" w:eastAsia="仿宋" w:cs="仿宋"/>
          <w:b/>
          <w:color w:val="auto"/>
          <w:sz w:val="48"/>
          <w:szCs w:val="48"/>
          <w:highlight w:val="none"/>
        </w:rPr>
      </w:pPr>
    </w:p>
    <w:p w14:paraId="6872007C">
      <w:pPr>
        <w:jc w:val="center"/>
        <w:rPr>
          <w:rFonts w:hint="eastAsia" w:ascii="仿宋" w:hAnsi="仿宋" w:eastAsia="仿宋" w:cs="仿宋"/>
          <w:color w:val="auto"/>
          <w:sz w:val="48"/>
          <w:szCs w:val="48"/>
          <w:highlight w:val="none"/>
        </w:rPr>
      </w:pPr>
    </w:p>
    <w:p w14:paraId="6DDCCBD1">
      <w:pPr>
        <w:jc w:val="center"/>
        <w:rPr>
          <w:rFonts w:hint="eastAsia" w:ascii="仿宋" w:hAnsi="仿宋" w:eastAsia="仿宋" w:cs="仿宋"/>
          <w:color w:val="auto"/>
          <w:sz w:val="48"/>
          <w:szCs w:val="48"/>
          <w:highlight w:val="none"/>
        </w:rPr>
      </w:pPr>
    </w:p>
    <w:p w14:paraId="6E79627E">
      <w:pPr>
        <w:rPr>
          <w:rFonts w:hint="eastAsia" w:ascii="仿宋" w:hAnsi="仿宋" w:cs="仿宋"/>
          <w:b/>
          <w:bCs/>
          <w:color w:val="auto"/>
          <w:sz w:val="28"/>
          <w:szCs w:val="28"/>
          <w:highlight w:val="none"/>
          <w:lang w:val="en-US" w:eastAsia="zh-CN"/>
        </w:rPr>
      </w:pPr>
      <w:r>
        <w:rPr>
          <w:rFonts w:hint="eastAsia" w:ascii="仿宋" w:hAnsi="仿宋" w:cs="仿宋"/>
          <w:b/>
          <w:bCs/>
          <w:color w:val="auto"/>
          <w:sz w:val="28"/>
          <w:szCs w:val="28"/>
          <w:highlight w:val="none"/>
          <w:lang w:val="en-US" w:eastAsia="zh-CN"/>
        </w:rPr>
        <w:t xml:space="preserve"> </w:t>
      </w:r>
    </w:p>
    <w:p w14:paraId="2D7BF3DF">
      <w:pPr>
        <w:rPr>
          <w:rFonts w:hint="eastAsia" w:ascii="仿宋" w:hAnsi="仿宋" w:cs="仿宋"/>
          <w:b/>
          <w:bCs/>
          <w:color w:val="auto"/>
          <w:sz w:val="28"/>
          <w:szCs w:val="28"/>
          <w:highlight w:val="none"/>
          <w:lang w:val="en-US" w:eastAsia="zh-CN"/>
        </w:rPr>
      </w:pPr>
    </w:p>
    <w:p w14:paraId="5D26CE9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w:t>
      </w:r>
    </w:p>
    <w:p w14:paraId="617C27CC">
      <w:pPr>
        <w:jc w:val="center"/>
        <w:rPr>
          <w:rFonts w:hint="eastAsia" w:ascii="仿宋" w:hAnsi="仿宋" w:eastAsia="仿宋" w:cs="仿宋"/>
          <w:b/>
          <w:bCs/>
          <w:color w:val="auto"/>
          <w:sz w:val="28"/>
          <w:szCs w:val="28"/>
          <w:highlight w:val="none"/>
        </w:rPr>
      </w:pPr>
      <w:r>
        <w:rPr>
          <w:rFonts w:hint="eastAsia" w:ascii="仿宋" w:hAnsi="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年</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 xml:space="preserve"> 月</w:t>
      </w:r>
    </w:p>
    <w:p w14:paraId="32E6EFC2">
      <w:pPr>
        <w:rPr>
          <w:rFonts w:hint="eastAsia" w:ascii="仿宋" w:hAnsi="仿宋" w:eastAsia="仿宋" w:cs="仿宋"/>
          <w:b/>
          <w:color w:val="auto"/>
          <w:sz w:val="24"/>
          <w:szCs w:val="24"/>
          <w:highlight w:val="none"/>
        </w:rPr>
      </w:pPr>
    </w:p>
    <w:p w14:paraId="70BD0C80">
      <w:pPr>
        <w:spacing w:line="360" w:lineRule="auto"/>
        <w:ind w:firstLine="482" w:firstLineChars="200"/>
        <w:rPr>
          <w:rFonts w:hint="default" w:ascii="宋体" w:hAnsi="宋体" w:eastAsia="宋体" w:cs="宋体"/>
          <w:sz w:val="24"/>
          <w:szCs w:val="24"/>
          <w:u w:val="single"/>
          <w:lang w:val="en-US" w:eastAsia="zh-CN"/>
        </w:rPr>
      </w:pPr>
      <w:r>
        <w:rPr>
          <w:rFonts w:hint="eastAsia" w:ascii="仿宋" w:hAnsi="仿宋" w:eastAsia="仿宋" w:cs="仿宋"/>
          <w:b/>
          <w:color w:val="auto"/>
          <w:sz w:val="24"/>
          <w:szCs w:val="24"/>
          <w:highlight w:val="none"/>
        </w:rPr>
        <w:br w:type="page"/>
      </w:r>
    </w:p>
    <w:p w14:paraId="7E34B8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采购人（甲方）：</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 xml:space="preserve">                              </w:t>
      </w:r>
    </w:p>
    <w:p w14:paraId="5E8523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供应商（乙方）：</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 xml:space="preserve">                              </w:t>
      </w:r>
    </w:p>
    <w:p w14:paraId="428484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依据《中华人民共和国</w:t>
      </w:r>
      <w:r>
        <w:rPr>
          <w:rFonts w:hint="eastAsia" w:asciiTheme="minorEastAsia" w:hAnsiTheme="minorEastAsia" w:eastAsiaTheme="minorEastAsia" w:cstheme="minorEastAsia"/>
          <w:sz w:val="21"/>
          <w:szCs w:val="21"/>
          <w:lang w:eastAsia="zh-CN"/>
        </w:rPr>
        <w:t>民法典</w:t>
      </w:r>
      <w:r>
        <w:rPr>
          <w:rFonts w:hint="eastAsia" w:asciiTheme="minorEastAsia" w:hAnsiTheme="minorEastAsia" w:eastAsiaTheme="minorEastAsia" w:cstheme="minorEastAsia"/>
          <w:sz w:val="21"/>
          <w:szCs w:val="21"/>
        </w:rPr>
        <w:t>》、《中华人民共和国政府采购法》与项目行业有关的法律法规，以及</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（项目编号：</w:t>
      </w:r>
      <w:r>
        <w:rPr>
          <w:rFonts w:hint="eastAsia" w:asciiTheme="minorEastAsia" w:hAnsiTheme="minorEastAsia" w:eastAsiaTheme="minorEastAsia" w:cstheme="minorEastAsia"/>
          <w:i/>
          <w:iCs/>
          <w:sz w:val="21"/>
          <w:szCs w:val="21"/>
          <w:lang w:val="en-US" w:eastAsia="zh-CN"/>
        </w:rPr>
        <w:t xml:space="preserve"> </w:t>
      </w:r>
      <w:r>
        <w:rPr>
          <w:rFonts w:hint="eastAsia" w:asciiTheme="minorEastAsia" w:hAnsiTheme="minorEastAsia" w:eastAsiaTheme="minorEastAsia" w:cstheme="minorEastAsia"/>
          <w:i/>
          <w:iCs/>
          <w:sz w:val="21"/>
          <w:szCs w:val="21"/>
          <w:u w:val="single"/>
          <w:lang w:val="en-US" w:eastAsia="zh-CN"/>
        </w:rPr>
        <w:t xml:space="preserve">                </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eastAsia="zh-CN"/>
        </w:rPr>
        <w:t>竞争性磋商</w:t>
      </w:r>
      <w:r>
        <w:rPr>
          <w:rFonts w:hint="eastAsia" w:asciiTheme="minorEastAsia" w:hAnsiTheme="minorEastAsia" w:eastAsiaTheme="minorEastAsia" w:cstheme="minorEastAsia"/>
          <w:sz w:val="21"/>
          <w:szCs w:val="21"/>
        </w:rPr>
        <w:t>文件》，乙方的《</w:t>
      </w:r>
      <w:r>
        <w:rPr>
          <w:rFonts w:hint="eastAsia" w:asciiTheme="minorEastAsia" w:hAnsiTheme="minorEastAsia" w:eastAsiaTheme="minorEastAsia" w:cstheme="minorEastAsia"/>
          <w:sz w:val="21"/>
          <w:szCs w:val="21"/>
          <w:lang w:eastAsia="zh-CN"/>
        </w:rPr>
        <w:t>竞争性磋商响应</w:t>
      </w:r>
      <w:r>
        <w:rPr>
          <w:rFonts w:hint="eastAsia" w:asciiTheme="minorEastAsia" w:hAnsiTheme="minorEastAsia" w:eastAsiaTheme="minorEastAsia" w:cstheme="minorEastAsia"/>
          <w:sz w:val="21"/>
          <w:szCs w:val="21"/>
        </w:rPr>
        <w:t>文件》及《</w:t>
      </w:r>
      <w:r>
        <w:rPr>
          <w:rFonts w:hint="eastAsia" w:asciiTheme="minorEastAsia" w:hAnsiTheme="minorEastAsia" w:eastAsiaTheme="minorEastAsia" w:cstheme="minorEastAsia"/>
          <w:sz w:val="21"/>
          <w:szCs w:val="21"/>
          <w:lang w:eastAsia="zh-CN"/>
        </w:rPr>
        <w:t>成交</w:t>
      </w:r>
      <w:r>
        <w:rPr>
          <w:rFonts w:hint="eastAsia" w:asciiTheme="minorEastAsia" w:hAnsiTheme="minorEastAsia" w:eastAsiaTheme="minorEastAsia" w:cstheme="minorEastAsia"/>
          <w:sz w:val="21"/>
          <w:szCs w:val="21"/>
        </w:rPr>
        <w:t>通知书》，甲、乙双方同意签订本合同。详细技术说明及其他有关合同项目的特定信息由合同附件予以说明，合同附件及本项目的《</w:t>
      </w:r>
      <w:r>
        <w:rPr>
          <w:rFonts w:hint="eastAsia" w:asciiTheme="minorEastAsia" w:hAnsiTheme="minorEastAsia" w:eastAsiaTheme="minorEastAsia" w:cstheme="minorEastAsia"/>
          <w:sz w:val="21"/>
          <w:szCs w:val="21"/>
          <w:lang w:eastAsia="zh-CN"/>
        </w:rPr>
        <w:t>竞争性磋商</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eastAsia="zh-CN"/>
        </w:rPr>
        <w:t>竞争性磋商响应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eastAsia="zh-CN"/>
        </w:rPr>
        <w:t>成交</w:t>
      </w:r>
      <w:r>
        <w:rPr>
          <w:rFonts w:hint="eastAsia" w:asciiTheme="minorEastAsia" w:hAnsiTheme="minorEastAsia" w:eastAsiaTheme="minorEastAsia" w:cstheme="minorEastAsia"/>
          <w:sz w:val="21"/>
          <w:szCs w:val="21"/>
        </w:rPr>
        <w:t>通知书》等均为本合同的组成部分</w:t>
      </w:r>
      <w:r>
        <w:rPr>
          <w:rFonts w:hint="eastAsia" w:asciiTheme="minorEastAsia" w:hAnsiTheme="minorEastAsia" w:eastAsiaTheme="minorEastAsia" w:cstheme="minorEastAsia"/>
          <w:sz w:val="21"/>
          <w:szCs w:val="21"/>
          <w:lang w:eastAsia="zh-CN"/>
        </w:rPr>
        <w:t>。</w:t>
      </w:r>
    </w:p>
    <w:p w14:paraId="0BE20645">
      <w:pPr>
        <w:pStyle w:val="2"/>
        <w:bidi w:val="0"/>
        <w:rPr>
          <w:rFonts w:hint="eastAsia"/>
        </w:rPr>
      </w:pPr>
      <w:r>
        <w:rPr>
          <w:rFonts w:hint="eastAsia"/>
          <w:lang w:val="en-US" w:eastAsia="zh-CN"/>
        </w:rPr>
        <w:t>第一条  合同价款</w:t>
      </w:r>
    </w:p>
    <w:p w14:paraId="7E04EA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（一）合同总价款为人民币(大写)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)，实际合同总价即中标价为一次性报价，不受市场价变化或实际工作量变化的影响（包含人员工资、人员福利、人员保险、加班费及完成项目实施所需要的各种费用）。</w:t>
      </w:r>
    </w:p>
    <w:p w14:paraId="1F063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（二）合同价款据实结算。</w:t>
      </w:r>
    </w:p>
    <w:p w14:paraId="026A06D0">
      <w:pPr>
        <w:pStyle w:val="2"/>
        <w:bidi w:val="0"/>
        <w:rPr>
          <w:rFonts w:hint="default"/>
          <w:lang w:val="en-US" w:eastAsia="zh-CN"/>
        </w:rPr>
      </w:pPr>
      <w:r>
        <w:rPr>
          <w:rFonts w:hint="eastAsia"/>
          <w:lang w:val="en-US" w:eastAsia="zh-CN"/>
        </w:rPr>
        <w:t>第二条  服务内容</w:t>
      </w:r>
    </w:p>
    <w:p w14:paraId="41C90B32">
      <w:pPr>
        <w:pStyle w:val="2"/>
        <w:bidi w:val="0"/>
        <w:rPr>
          <w:rFonts w:hint="eastAsia"/>
        </w:rPr>
      </w:pPr>
      <w:r>
        <w:rPr>
          <w:rFonts w:hint="eastAsia"/>
        </w:rPr>
        <w:t>第三条</w:t>
      </w:r>
      <w:r>
        <w:rPr>
          <w:rFonts w:hint="eastAsia"/>
          <w:lang w:val="en-US" w:eastAsia="zh-CN"/>
        </w:rPr>
        <w:t xml:space="preserve">  </w:t>
      </w:r>
      <w:r>
        <w:rPr>
          <w:rFonts w:hint="eastAsia"/>
        </w:rPr>
        <w:t xml:space="preserve">合同期限  </w:t>
      </w:r>
    </w:p>
    <w:p w14:paraId="40AA6709">
      <w:pPr>
        <w:bidi w:val="0"/>
        <w:rPr>
          <w:rFonts w:hint="eastAsia" w:ascii="宋体" w:hAnsi="宋体" w:eastAsia="宋体" w:cs="宋体"/>
          <w:sz w:val="21"/>
          <w:szCs w:val="21"/>
          <w:lang w:eastAsia="zh-CN"/>
        </w:rPr>
      </w:pPr>
      <w:r>
        <w:rPr>
          <w:rFonts w:hint="eastAsia" w:ascii="宋体" w:hAnsi="宋体" w:eastAsia="宋体" w:cs="宋体"/>
          <w:sz w:val="21"/>
          <w:szCs w:val="21"/>
          <w:lang w:eastAsia="zh-CN"/>
        </w:rPr>
        <w:t>自合同签订之日起1年。</w:t>
      </w:r>
    </w:p>
    <w:p w14:paraId="32EDA8A4">
      <w:pPr>
        <w:pStyle w:val="2"/>
        <w:bidi w:val="0"/>
        <w:rPr>
          <w:rFonts w:hint="eastAsia"/>
          <w:lang w:val="en-US" w:eastAsia="zh-CN"/>
        </w:rPr>
      </w:pPr>
      <w:bookmarkStart w:id="0" w:name="_Toc211911348"/>
      <w:bookmarkStart w:id="1" w:name="_Toc225654644"/>
      <w:bookmarkStart w:id="2" w:name="_Toc225670751"/>
      <w:bookmarkStart w:id="3" w:name="_Toc247334841"/>
      <w:bookmarkStart w:id="4" w:name="_Toc211854449"/>
      <w:bookmarkStart w:id="5" w:name="_Toc232492928"/>
      <w:bookmarkStart w:id="6" w:name="_Toc282696226"/>
      <w:bookmarkStart w:id="7" w:name="_Toc239233914"/>
      <w:bookmarkStart w:id="8" w:name="_Toc241833903"/>
      <w:bookmarkStart w:id="9" w:name="_Toc237145406"/>
      <w:bookmarkStart w:id="10" w:name="_Toc283019214"/>
      <w:bookmarkStart w:id="11" w:name="_Toc286993786"/>
      <w:bookmarkStart w:id="12" w:name="_Toc238984975"/>
      <w:bookmarkStart w:id="13" w:name="_Toc239568418"/>
      <w:bookmarkStart w:id="14" w:name="_Toc225244852"/>
      <w:bookmarkStart w:id="15" w:name="_Toc212019594"/>
      <w:bookmarkStart w:id="16" w:name="_Toc251768862"/>
      <w:bookmarkStart w:id="17" w:name="_Toc185395249"/>
      <w:r>
        <w:rPr>
          <w:rFonts w:hint="eastAsia"/>
        </w:rPr>
        <w:t>第</w:t>
      </w:r>
      <w:r>
        <w:rPr>
          <w:rFonts w:hint="eastAsia"/>
          <w:lang w:val="en-US" w:eastAsia="zh-CN"/>
        </w:rPr>
        <w:t>四</w:t>
      </w:r>
      <w:r>
        <w:rPr>
          <w:rFonts w:hint="eastAsia"/>
        </w:rPr>
        <w:t xml:space="preserve">条  </w:t>
      </w:r>
      <w:r>
        <w:rPr>
          <w:rFonts w:hint="eastAsia"/>
          <w:lang w:eastAsia="zh-CN"/>
        </w:rPr>
        <w:t>服务地点</w:t>
      </w:r>
      <w:r>
        <w:rPr>
          <w:rFonts w:hint="eastAsia"/>
          <w:lang w:val="en-US" w:eastAsia="zh-CN"/>
        </w:rPr>
        <w:t>及方式</w:t>
      </w:r>
    </w:p>
    <w:p w14:paraId="2E7089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地点：采购人指定地点</w:t>
      </w:r>
    </w:p>
    <w:p w14:paraId="670796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方式：按照甲方要求</w:t>
      </w:r>
    </w:p>
    <w:p w14:paraId="3C47BBE0">
      <w:pPr>
        <w:pStyle w:val="2"/>
        <w:bidi w:val="0"/>
        <w:rPr>
          <w:rFonts w:hint="eastAsia"/>
          <w:lang w:eastAsia="zh-CN"/>
        </w:rPr>
      </w:pPr>
      <w:r>
        <w:rPr>
          <w:rFonts w:hint="eastAsia"/>
        </w:rPr>
        <w:t>第</w:t>
      </w:r>
      <w:r>
        <w:rPr>
          <w:rFonts w:hint="eastAsia"/>
          <w:lang w:val="en-US" w:eastAsia="zh-CN"/>
        </w:rPr>
        <w:t>五</w:t>
      </w:r>
      <w:r>
        <w:rPr>
          <w:rFonts w:hint="eastAsia"/>
        </w:rPr>
        <w:t xml:space="preserve">条  </w:t>
      </w:r>
      <w:r>
        <w:rPr>
          <w:rFonts w:hint="eastAsia"/>
          <w:lang w:val="en-US" w:eastAsia="zh-CN"/>
        </w:rPr>
        <w:t>合同结算</w:t>
      </w:r>
    </w:p>
    <w:p w14:paraId="2B5C21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（一）付款方式</w:t>
      </w:r>
    </w:p>
    <w:p w14:paraId="52A90F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项目周期结束后委托第三方机构对承接主体履行合同情况及开展服务进行验收，根据验收结果支付资金，达到付款条件起30日内支付合同总金额的100%（因财政审批及审计延误付款，不视为逾期付款）。</w:t>
      </w:r>
    </w:p>
    <w:p w14:paraId="721005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（二）结算方式:银行转账。</w:t>
      </w:r>
    </w:p>
    <w:p w14:paraId="2B1B3F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1"/>
          <w:szCs w:val="21"/>
          <w:lang w:val="en-US" w:eastAsia="zh-CN"/>
        </w:rPr>
        <w:t>（三）结算单位:由甲方负责结算，支付合同价款前，乙方按甲方要求开具等额发票给甲方。</w:t>
      </w:r>
    </w:p>
    <w:p w14:paraId="68D07228">
      <w:pPr>
        <w:pStyle w:val="2"/>
        <w:bidi w:val="0"/>
        <w:rPr>
          <w:rFonts w:hint="eastAsia"/>
        </w:rPr>
      </w:pPr>
      <w:r>
        <w:rPr>
          <w:rFonts w:hint="eastAsia"/>
        </w:rPr>
        <w:t>第</w:t>
      </w:r>
      <w:r>
        <w:rPr>
          <w:rFonts w:hint="eastAsia"/>
          <w:lang w:val="en-US" w:eastAsia="zh-CN"/>
        </w:rPr>
        <w:t>六</w:t>
      </w:r>
      <w:r>
        <w:rPr>
          <w:rFonts w:hint="eastAsia"/>
        </w:rPr>
        <w:t>条  甲乙双方责任和义务</w:t>
      </w:r>
    </w:p>
    <w:p w14:paraId="0B1B7263">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一、甲方责任和义务</w:t>
      </w:r>
    </w:p>
    <w:p w14:paraId="5CC239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1.负责开展社区康复服务工作经费的拨付。</w:t>
      </w:r>
    </w:p>
    <w:p w14:paraId="1CC3B5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2.负责指导和督查乙方对服务场地及使用功能的配备。</w:t>
      </w:r>
    </w:p>
    <w:p w14:paraId="7932A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3.负责对乙方开展精神障碍社区康复服务的工作指导、质量监督，了解康复人员及家属反馈相关意见等。</w:t>
      </w:r>
    </w:p>
    <w:p w14:paraId="78490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4.协助乙方发动康复人员及家属积极参与社区康复，鼓励康复人员及其家属坚持参加社区康复训练与活动，及时协助乙方处理工作困难。</w:t>
      </w:r>
    </w:p>
    <w:p w14:paraId="5AEA3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5.根据服务需求对乙方服务过程与服务效果等服务质量进行督导、考核与验收。</w:t>
      </w:r>
    </w:p>
    <w:p w14:paraId="51B831B3">
      <w:pPr>
        <w:bidi w:val="0"/>
        <w:rPr>
          <w:rFonts w:hint="eastAsia"/>
          <w:lang w:val="en-US" w:eastAsia="zh-CN"/>
        </w:rPr>
      </w:pPr>
      <w:r>
        <w:rPr>
          <w:rFonts w:hint="eastAsia"/>
          <w:lang w:val="en-US" w:eastAsia="zh-CN"/>
        </w:rPr>
        <w:t>二、</w:t>
      </w:r>
      <w:r>
        <w:rPr>
          <w:rFonts w:hint="eastAsia" w:asciiTheme="minorEastAsia" w:hAnsiTheme="minorEastAsia" w:eastAsiaTheme="minorEastAsia" w:cstheme="minorEastAsia"/>
          <w:lang w:val="en-US" w:eastAsia="zh-CN"/>
        </w:rPr>
        <w:t>乙方责任和义务</w:t>
      </w:r>
    </w:p>
    <w:p w14:paraId="1AAD108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lang w:val="en-US" w:eastAsia="zh-CN"/>
        </w:rPr>
      </w:pPr>
      <w:r>
        <w:rPr>
          <w:rFonts w:hint="default" w:asciiTheme="minorEastAsia" w:hAnsiTheme="minorEastAsia" w:eastAsiaTheme="minorEastAsia" w:cstheme="minorEastAsia"/>
          <w:lang w:val="en-US" w:eastAsia="zh-CN"/>
        </w:rPr>
        <w:t>1.按照协议合同的服务指标、服务内容及服务进度完成精神障碍社区康复服务。</w:t>
      </w:r>
    </w:p>
    <w:p w14:paraId="663952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lang w:val="en-US" w:eastAsia="zh-CN"/>
        </w:rPr>
      </w:pPr>
      <w:r>
        <w:rPr>
          <w:rFonts w:hint="default" w:asciiTheme="minorEastAsia" w:hAnsiTheme="minorEastAsia" w:eastAsiaTheme="minorEastAsia" w:cstheme="minorEastAsia"/>
          <w:lang w:val="en-US" w:eastAsia="zh-CN"/>
        </w:rPr>
        <w:t>2.服务方式以结合康复人员实际情况落实:集中训练、入户指导、家属支持等方式进行服务</w:t>
      </w:r>
      <w:r>
        <w:rPr>
          <w:rFonts w:hint="eastAsia" w:asciiTheme="minorEastAsia" w:hAnsiTheme="minorEastAsia" w:eastAsiaTheme="minorEastAsia" w:cstheme="minorEastAsia"/>
          <w:lang w:val="en-US" w:eastAsia="zh-CN"/>
        </w:rPr>
        <w:t>，</w:t>
      </w:r>
      <w:r>
        <w:rPr>
          <w:rFonts w:hint="default" w:asciiTheme="minorEastAsia" w:hAnsiTheme="minorEastAsia" w:eastAsiaTheme="minorEastAsia" w:cstheme="minorEastAsia"/>
          <w:lang w:val="en-US" w:eastAsia="zh-CN"/>
        </w:rPr>
        <w:t>并保存相关服务记录。</w:t>
      </w:r>
    </w:p>
    <w:p w14:paraId="18CE3A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lang w:val="en-US" w:eastAsia="zh-CN"/>
        </w:rPr>
      </w:pPr>
      <w:r>
        <w:rPr>
          <w:rFonts w:hint="default" w:asciiTheme="minorEastAsia" w:hAnsiTheme="minorEastAsia" w:eastAsiaTheme="minorEastAsia" w:cstheme="minorEastAsia"/>
          <w:lang w:val="en-US" w:eastAsia="zh-CN"/>
        </w:rPr>
        <w:t>3.定期进行服务对象的社会功能和康复效果评估，并按要求收集、汇总康复服务数据信息上报甲方。</w:t>
      </w:r>
    </w:p>
    <w:p w14:paraId="7D7F35D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lang w:val="en-US" w:eastAsia="zh-CN"/>
        </w:rPr>
      </w:pPr>
      <w:r>
        <w:rPr>
          <w:rFonts w:hint="default" w:asciiTheme="minorEastAsia" w:hAnsiTheme="minorEastAsia" w:eastAsiaTheme="minorEastAsia" w:cstheme="minorEastAsia"/>
          <w:lang w:val="en-US" w:eastAsia="zh-CN"/>
        </w:rPr>
        <w:t>4.不断提高服务团队人员服务技能，开展业务培训，保存工作人员具备履行本合同业务所需能力。</w:t>
      </w:r>
    </w:p>
    <w:p w14:paraId="522516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lang w:val="en-US" w:eastAsia="zh-CN"/>
        </w:rPr>
      </w:pPr>
      <w:r>
        <w:rPr>
          <w:rFonts w:hint="default" w:asciiTheme="minorEastAsia" w:hAnsiTheme="minorEastAsia" w:eastAsiaTheme="minorEastAsia" w:cstheme="minorEastAsia"/>
          <w:lang w:val="en-US" w:eastAsia="zh-CN"/>
        </w:rPr>
        <w:t>5.接受甲方对康复服务质量、服务过程与服务效果等进行督导、考核与验收。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F2DDEEE">
      <w:pPr>
        <w:pStyle w:val="2"/>
        <w:bidi w:val="0"/>
        <w:rPr>
          <w:rFonts w:hint="eastAsia"/>
        </w:rPr>
      </w:pPr>
      <w:bookmarkStart w:id="18" w:name="_Toc211854455"/>
      <w:bookmarkStart w:id="19" w:name="_Toc239233920"/>
      <w:bookmarkStart w:id="20" w:name="_Toc225244858"/>
      <w:bookmarkStart w:id="21" w:name="_Toc247334847"/>
      <w:bookmarkStart w:id="22" w:name="_Toc211911354"/>
      <w:bookmarkStart w:id="23" w:name="_Toc286993793"/>
      <w:bookmarkStart w:id="24" w:name="_Toc239568424"/>
      <w:bookmarkStart w:id="25" w:name="_Toc282696231"/>
      <w:bookmarkStart w:id="26" w:name="_Toc225670757"/>
      <w:bookmarkStart w:id="27" w:name="_Toc232492934"/>
      <w:bookmarkStart w:id="28" w:name="_Toc212019600"/>
      <w:bookmarkStart w:id="29" w:name="_Toc238984981"/>
      <w:bookmarkStart w:id="30" w:name="_Toc237145412"/>
      <w:bookmarkStart w:id="31" w:name="_Toc225654650"/>
      <w:bookmarkStart w:id="32" w:name="_Toc241833909"/>
      <w:bookmarkStart w:id="33" w:name="_Toc251768868"/>
      <w:bookmarkStart w:id="34" w:name="_Toc283019219"/>
      <w:bookmarkStart w:id="35" w:name="_Toc185395255"/>
      <w:r>
        <w:rPr>
          <w:rFonts w:hint="eastAsia"/>
        </w:rPr>
        <w:t>第</w:t>
      </w:r>
      <w:r>
        <w:rPr>
          <w:rFonts w:hint="eastAsia"/>
          <w:lang w:val="en-US" w:eastAsia="zh-CN"/>
        </w:rPr>
        <w:t>七</w:t>
      </w:r>
      <w:r>
        <w:rPr>
          <w:rFonts w:hint="eastAsia"/>
        </w:rPr>
        <w:t>条  知识产权（若有）</w:t>
      </w:r>
    </w:p>
    <w:p w14:paraId="58AF1C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乙方应保证所提供的服务或其任何一部分均不会侵犯任何第三方的专利权、商标权或著作权。</w:t>
      </w:r>
    </w:p>
    <w:p w14:paraId="44AC0AD2">
      <w:pPr>
        <w:pStyle w:val="2"/>
        <w:bidi w:val="0"/>
        <w:rPr>
          <w:rFonts w:hint="eastAsia"/>
        </w:rPr>
      </w:pPr>
      <w:r>
        <w:rPr>
          <w:rFonts w:hint="eastAsia"/>
        </w:rPr>
        <w:t>第</w:t>
      </w:r>
      <w:r>
        <w:rPr>
          <w:rFonts w:hint="eastAsia"/>
          <w:lang w:val="en-US" w:eastAsia="zh-CN"/>
        </w:rPr>
        <w:t>八</w:t>
      </w:r>
      <w:r>
        <w:rPr>
          <w:rFonts w:hint="eastAsia"/>
        </w:rPr>
        <w:t>条</w:t>
      </w:r>
      <w:r>
        <w:rPr>
          <w:rFonts w:hint="eastAsia"/>
          <w:lang w:val="en-US" w:eastAsia="zh-CN"/>
        </w:rPr>
        <w:t xml:space="preserve"> </w:t>
      </w:r>
      <w:r>
        <w:rPr>
          <w:rFonts w:hint="eastAsia"/>
        </w:rPr>
        <w:t xml:space="preserve"> 质量保证</w:t>
      </w:r>
    </w:p>
    <w:p w14:paraId="04C523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供应商提供的服务，应全面满足采购文件的要求，采购文件未明确要求的内容，供应商须按采购人的补充要求为准。</w:t>
      </w:r>
    </w:p>
    <w:p w14:paraId="080C94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2、成交单位应当保证其具有完成本项目所要求的服务所必须具备的专业设备和服务能力。</w:t>
      </w:r>
    </w:p>
    <w:p w14:paraId="386C85F9">
      <w:pPr>
        <w:pStyle w:val="2"/>
        <w:bidi w:val="0"/>
        <w:rPr>
          <w:rFonts w:hint="eastAsia"/>
          <w:lang w:eastAsia="zh-CN"/>
        </w:rPr>
      </w:pPr>
      <w:r>
        <w:rPr>
          <w:rFonts w:hint="eastAsia"/>
        </w:rPr>
        <w:t>第</w:t>
      </w:r>
      <w:r>
        <w:rPr>
          <w:rFonts w:hint="eastAsia"/>
          <w:lang w:val="en-US" w:eastAsia="zh-CN"/>
        </w:rPr>
        <w:t>九</w:t>
      </w:r>
      <w:r>
        <w:rPr>
          <w:rFonts w:hint="eastAsia"/>
        </w:rPr>
        <w:t>条</w:t>
      </w:r>
      <w:r>
        <w:rPr>
          <w:rFonts w:hint="eastAsia"/>
          <w:lang w:val="en-US" w:eastAsia="zh-CN"/>
        </w:rPr>
        <w:t xml:space="preserve">  验收</w:t>
      </w:r>
    </w:p>
    <w:p w14:paraId="207A1D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1、所验服务最终验收达不到磋商文件要求和磋商响应文件承诺及国家或行业标准的，或在使用中发现甲方不能容忍的缺陷等，将视为验收不合格，乙方应在甲方要求的时间内无条件完善或要求赔付甲方损失。</w:t>
      </w:r>
    </w:p>
    <w:p w14:paraId="0C84D7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2、若发现乙方有弄虚作假的，及在项目实施阶段故意或随意夸大服务，本合同解除，乙方赔偿甲方相应的损失。</w:t>
      </w:r>
    </w:p>
    <w:p w14:paraId="71ABE9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3、验收标准：按磋商文件、磋商响应文件及磋商记录表等技术指标进行逐项验收。各项指标均应符合验收标准及要求。</w:t>
      </w:r>
    </w:p>
    <w:p w14:paraId="7845D849">
      <w:pPr>
        <w:pStyle w:val="2"/>
        <w:bidi w:val="0"/>
        <w:rPr>
          <w:rFonts w:hint="eastAsia"/>
        </w:rPr>
      </w:pPr>
      <w:r>
        <w:rPr>
          <w:rFonts w:hint="eastAsia"/>
        </w:rPr>
        <w:t>第</w:t>
      </w:r>
      <w:r>
        <w:rPr>
          <w:rFonts w:hint="eastAsia"/>
          <w:lang w:val="en-US" w:eastAsia="zh-CN"/>
        </w:rPr>
        <w:t>十</w:t>
      </w:r>
      <w:r>
        <w:rPr>
          <w:rFonts w:hint="eastAsia"/>
        </w:rPr>
        <w:t>条  违约责任</w:t>
      </w:r>
    </w:p>
    <w:p w14:paraId="78873F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1、甲乙双方必须遵守本合同并执行合同中的各项规定，保证本合同的正常履行。</w:t>
      </w:r>
    </w:p>
    <w:p w14:paraId="71FFB4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D963A97">
      <w:pPr>
        <w:pStyle w:val="2"/>
        <w:bidi w:val="0"/>
        <w:rPr>
          <w:rFonts w:hint="eastAsia"/>
        </w:rPr>
      </w:pPr>
      <w:r>
        <w:rPr>
          <w:rFonts w:hint="eastAsia"/>
        </w:rPr>
        <w:t>第十</w:t>
      </w:r>
      <w:r>
        <w:rPr>
          <w:rFonts w:hint="eastAsia"/>
          <w:lang w:val="en-US" w:eastAsia="zh-CN"/>
        </w:rPr>
        <w:t>一</w:t>
      </w:r>
      <w:r>
        <w:rPr>
          <w:rFonts w:hint="eastAsia"/>
        </w:rPr>
        <w:t>条 不可抗力事件处理</w:t>
      </w:r>
    </w:p>
    <w:p w14:paraId="38F97A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1、在合同有效期内，</w:t>
      </w:r>
      <w:r>
        <w:rPr>
          <w:rFonts w:hint="eastAsia" w:ascii="宋体" w:hAnsi="宋体" w:eastAsia="宋体" w:cs="宋体"/>
          <w:sz w:val="21"/>
          <w:szCs w:val="21"/>
          <w:lang w:val="en-US" w:eastAsia="zh-CN"/>
        </w:rPr>
        <w:t>双</w:t>
      </w:r>
      <w:r>
        <w:rPr>
          <w:rFonts w:hint="eastAsia" w:ascii="宋体" w:hAnsi="宋体" w:eastAsia="宋体" w:cs="宋体"/>
          <w:sz w:val="21"/>
          <w:szCs w:val="21"/>
        </w:rPr>
        <w:t>方约定</w:t>
      </w:r>
      <w:r>
        <w:rPr>
          <w:rFonts w:hint="eastAsia" w:ascii="宋体" w:hAnsi="宋体" w:eastAsia="宋体" w:cs="宋体"/>
          <w:sz w:val="21"/>
          <w:szCs w:val="21"/>
          <w:lang w:val="en-US" w:eastAsia="zh-CN"/>
        </w:rPr>
        <w:t>如遇</w:t>
      </w:r>
      <w:r>
        <w:rPr>
          <w:rFonts w:hint="eastAsia" w:ascii="宋体" w:hAnsi="宋体" w:eastAsia="宋体" w:cs="宋体"/>
          <w:sz w:val="21"/>
          <w:szCs w:val="21"/>
        </w:rPr>
        <w:t>不可抗力</w:t>
      </w:r>
      <w:r>
        <w:rPr>
          <w:rFonts w:hint="eastAsia" w:ascii="宋体" w:hAnsi="宋体" w:eastAsia="宋体" w:cs="宋体"/>
          <w:sz w:val="21"/>
          <w:szCs w:val="21"/>
          <w:lang w:val="en-US" w:eastAsia="zh-CN"/>
        </w:rPr>
        <w:t>因素（</w:t>
      </w:r>
      <w:r>
        <w:rPr>
          <w:rFonts w:hint="eastAsia" w:ascii="宋体" w:hAnsi="宋体" w:eastAsia="宋体" w:cs="宋体"/>
          <w:sz w:val="21"/>
          <w:szCs w:val="21"/>
        </w:rPr>
        <w:t>指：自然灾害、重大疫情、恶劣天气条件、政府行为、社会异常事件（包括罢工、政变、骚乱、游行等）或新颁布的法律、法规等不能预见、不能避免并不能克服的客观情况</w:t>
      </w:r>
      <w:r>
        <w:rPr>
          <w:rFonts w:hint="eastAsia" w:ascii="宋体" w:hAnsi="宋体" w:eastAsia="宋体" w:cs="宋体"/>
          <w:sz w:val="21"/>
          <w:szCs w:val="21"/>
          <w:lang w:eastAsia="zh-CN"/>
        </w:rPr>
        <w:t>）</w:t>
      </w:r>
      <w:r>
        <w:rPr>
          <w:rFonts w:hint="eastAsia" w:ascii="宋体" w:hAnsi="宋体" w:eastAsia="宋体" w:cs="宋体"/>
          <w:sz w:val="21"/>
          <w:szCs w:val="21"/>
        </w:rPr>
        <w:t>但不包括双方的违约或疏忽导致不能履行合同，则合同履行期可延长，其延长期与不可抗力影响期相同。</w:t>
      </w:r>
    </w:p>
    <w:p w14:paraId="4C08A3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3、不可抗力事件延续XX天以上，双方应通过友好协商，确定是否继续履行合同。</w:t>
      </w:r>
    </w:p>
    <w:p w14:paraId="54653AFD">
      <w:pPr>
        <w:pStyle w:val="2"/>
        <w:bidi w:val="0"/>
        <w:rPr>
          <w:rFonts w:hint="eastAsia"/>
        </w:rPr>
      </w:pPr>
      <w:bookmarkStart w:id="36" w:name="_Toc251768867"/>
      <w:bookmarkStart w:id="37" w:name="_Toc232492933"/>
      <w:bookmarkStart w:id="38" w:name="_Toc241833908"/>
      <w:bookmarkStart w:id="39" w:name="_Toc212019599"/>
      <w:bookmarkStart w:id="40" w:name="_Toc238984980"/>
      <w:bookmarkStart w:id="41" w:name="_Toc247334846"/>
      <w:bookmarkStart w:id="42" w:name="_Toc237145411"/>
      <w:bookmarkStart w:id="43" w:name="_Toc225244857"/>
      <w:bookmarkStart w:id="44" w:name="_Toc239568423"/>
      <w:bookmarkStart w:id="45" w:name="_Toc211911353"/>
      <w:bookmarkStart w:id="46" w:name="_Toc185395254"/>
      <w:bookmarkStart w:id="47" w:name="_Toc286993792"/>
      <w:bookmarkStart w:id="48" w:name="_Toc211854454"/>
      <w:bookmarkStart w:id="49" w:name="_Toc239233919"/>
      <w:bookmarkStart w:id="50" w:name="_Toc225654649"/>
      <w:bookmarkStart w:id="51" w:name="_Toc225670756"/>
      <w:r>
        <w:rPr>
          <w:rFonts w:hint="eastAsia"/>
        </w:rPr>
        <w:t>第十</w:t>
      </w:r>
      <w:r>
        <w:rPr>
          <w:rFonts w:hint="eastAsia"/>
          <w:lang w:val="en-US" w:eastAsia="zh-CN"/>
        </w:rPr>
        <w:t>二</w:t>
      </w:r>
      <w:r>
        <w:rPr>
          <w:rFonts w:hint="eastAsia"/>
        </w:rPr>
        <w:t>条  合同的变更和终止</w:t>
      </w:r>
    </w:p>
    <w:p w14:paraId="2F9A92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除《中华人民共和国政府采购法》第49条、第50条第二款规定的情形外，本合同一经签订，甲乙双方不得擅自变更、中止或终止合同。</w:t>
      </w:r>
    </w:p>
    <w:p w14:paraId="3BE0140C">
      <w:pPr>
        <w:pStyle w:val="2"/>
        <w:bidi w:val="0"/>
        <w:rPr>
          <w:rFonts w:hint="eastAsia"/>
        </w:rPr>
      </w:pPr>
      <w:r>
        <w:rPr>
          <w:rFonts w:hint="eastAsia"/>
        </w:rPr>
        <w:t>第十</w:t>
      </w:r>
      <w:r>
        <w:rPr>
          <w:rFonts w:hint="eastAsia"/>
          <w:lang w:val="en-US" w:eastAsia="zh-CN"/>
        </w:rPr>
        <w:t>三</w:t>
      </w:r>
      <w:r>
        <w:rPr>
          <w:rFonts w:hint="eastAsia"/>
        </w:rPr>
        <w:t>条  解决合同纠纷的方式</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46E2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凡因本合同引起的或与本合同有关的争议，双方应友好协商解决。协商不成时，双方均同意采用以下第（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）种争议解决方式：</w:t>
      </w:r>
    </w:p>
    <w:p w14:paraId="48339A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（1）、甲、乙双方均同意向（甲方所在地人民法院）提起诉讼。</w:t>
      </w:r>
    </w:p>
    <w:p w14:paraId="3FD28D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（2）、甲、乙双方均同意向（</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"http://www.baidu.com/s?wd=%E4%BB%B2%E8%A3%81%E5%A7%94%E5%91%98%E4%BC%9A&amp;tn=SE_PcZhidaonwhc_ngpagmjz&amp;rsv_dl=gh_pc_zhidao" \t "_blank" </w:instrText>
      </w:r>
      <w:r>
        <w:rPr>
          <w:rFonts w:hint="eastAsia" w:ascii="宋体" w:hAnsi="宋体" w:eastAsia="宋体" w:cs="宋体"/>
          <w:sz w:val="21"/>
          <w:szCs w:val="21"/>
        </w:rPr>
        <w:fldChar w:fldCharType="separate"/>
      </w:r>
      <w:r>
        <w:rPr>
          <w:rFonts w:hint="eastAsia" w:ascii="宋体" w:hAnsi="宋体" w:eastAsia="宋体" w:cs="宋体"/>
          <w:sz w:val="21"/>
          <w:szCs w:val="21"/>
        </w:rPr>
        <w:t>仲裁委员会</w:t>
      </w:r>
      <w:r>
        <w:rPr>
          <w:rFonts w:hint="eastAsia" w:ascii="宋体" w:hAnsi="宋体" w:eastAsia="宋体" w:cs="宋体"/>
          <w:sz w:val="21"/>
          <w:szCs w:val="21"/>
        </w:rPr>
        <w:fldChar w:fldCharType="end"/>
      </w:r>
      <w:r>
        <w:rPr>
          <w:rFonts w:hint="eastAsia" w:ascii="宋体" w:hAnsi="宋体" w:eastAsia="宋体" w:cs="宋体"/>
          <w:sz w:val="21"/>
          <w:szCs w:val="21"/>
        </w:rPr>
        <w:t>）提起仲裁。</w:t>
      </w:r>
    </w:p>
    <w:p w14:paraId="062B4A84">
      <w:pPr>
        <w:pStyle w:val="2"/>
        <w:bidi w:val="0"/>
        <w:rPr>
          <w:rFonts w:hint="eastAsia"/>
        </w:rPr>
      </w:pPr>
      <w:r>
        <w:rPr>
          <w:rFonts w:hint="eastAsia"/>
        </w:rPr>
        <w:t>第十</w:t>
      </w:r>
      <w:r>
        <w:rPr>
          <w:rFonts w:hint="eastAsia"/>
          <w:lang w:val="en-US" w:eastAsia="zh-CN"/>
        </w:rPr>
        <w:t>四</w:t>
      </w:r>
      <w:r>
        <w:rPr>
          <w:rFonts w:hint="eastAsia"/>
        </w:rPr>
        <w:t>条  合同</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hint="eastAsia"/>
        </w:rPr>
        <w:t>生效及其他</w:t>
      </w:r>
    </w:p>
    <w:p w14:paraId="072766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1、合同未尽事宜、由甲、乙双方协商，作为合同补充，与原合同具有同等法律效力。</w:t>
      </w:r>
    </w:p>
    <w:p w14:paraId="370D3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2、本合同一式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份，甲方、乙方双方分别执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份。</w:t>
      </w:r>
    </w:p>
    <w:p w14:paraId="6AF036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3、合同经甲乙双方盖章、签字后生效，合同签订地点为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14:paraId="5069EAD2">
      <w:pPr>
        <w:pStyle w:val="2"/>
        <w:bidi w:val="0"/>
        <w:rPr>
          <w:rFonts w:hint="eastAsia" w:ascii="宋体" w:hAnsi="宋体" w:eastAsia="宋体" w:cs="宋体"/>
          <w:color w:val="0000FF"/>
          <w:szCs w:val="21"/>
        </w:rPr>
      </w:pPr>
      <w:r>
        <w:rPr>
          <w:rFonts w:hint="eastAsia"/>
        </w:rPr>
        <w:t>第十</w:t>
      </w:r>
      <w:r>
        <w:rPr>
          <w:rFonts w:hint="eastAsia"/>
          <w:lang w:val="en-US" w:eastAsia="zh-CN"/>
        </w:rPr>
        <w:t>五</w:t>
      </w:r>
      <w:r>
        <w:rPr>
          <w:rFonts w:hint="eastAsia"/>
        </w:rPr>
        <w:t>条  附件</w:t>
      </w:r>
    </w:p>
    <w:p w14:paraId="76142D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eastAsia="zh-CN"/>
        </w:rPr>
        <w:t>成交</w:t>
      </w:r>
      <w:r>
        <w:rPr>
          <w:rFonts w:hint="eastAsia" w:ascii="宋体" w:hAnsi="宋体" w:eastAsia="宋体" w:cs="宋体"/>
          <w:sz w:val="21"/>
          <w:szCs w:val="21"/>
        </w:rPr>
        <w:t>通知书</w:t>
      </w:r>
      <w:r>
        <w:rPr>
          <w:rFonts w:hint="eastAsia" w:ascii="宋体" w:hAnsi="宋体" w:eastAsia="宋体" w:cs="宋体"/>
          <w:sz w:val="21"/>
          <w:szCs w:val="21"/>
          <w:lang w:val="en-US" w:eastAsia="zh-CN"/>
        </w:rPr>
        <w:t xml:space="preserve">  </w:t>
      </w:r>
    </w:p>
    <w:p w14:paraId="67C6FA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2、合同文件</w:t>
      </w:r>
      <w:r>
        <w:rPr>
          <w:rFonts w:hint="eastAsia" w:ascii="宋体" w:hAnsi="宋体" w:eastAsia="宋体" w:cs="宋体"/>
          <w:sz w:val="21"/>
          <w:szCs w:val="21"/>
          <w:lang w:val="en-US" w:eastAsia="zh-CN"/>
        </w:rPr>
        <w:t xml:space="preserve">  </w:t>
      </w:r>
    </w:p>
    <w:p w14:paraId="771814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3、国家相关规范及标准</w:t>
      </w:r>
      <w:r>
        <w:rPr>
          <w:rFonts w:hint="eastAsia" w:ascii="宋体" w:hAnsi="宋体" w:eastAsia="宋体" w:cs="宋体"/>
          <w:sz w:val="21"/>
          <w:szCs w:val="21"/>
          <w:lang w:val="en-US" w:eastAsia="zh-CN"/>
        </w:rPr>
        <w:t xml:space="preserve">  </w:t>
      </w:r>
    </w:p>
    <w:p w14:paraId="31F69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磋商</w:t>
      </w:r>
      <w:r>
        <w:rPr>
          <w:rFonts w:hint="eastAsia" w:ascii="宋体" w:hAnsi="宋体" w:eastAsia="宋体" w:cs="宋体"/>
          <w:sz w:val="21"/>
          <w:szCs w:val="21"/>
        </w:rPr>
        <w:t>文件</w:t>
      </w:r>
    </w:p>
    <w:p w14:paraId="6C7475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rPr>
        <w:t>5、</w:t>
      </w:r>
      <w:r>
        <w:rPr>
          <w:rFonts w:hint="eastAsia" w:ascii="宋体" w:hAnsi="宋体" w:eastAsia="宋体" w:cs="宋体"/>
          <w:sz w:val="21"/>
          <w:szCs w:val="21"/>
          <w:lang w:eastAsia="zh-CN"/>
        </w:rPr>
        <w:t>磋商响应</w:t>
      </w:r>
      <w:r>
        <w:rPr>
          <w:rFonts w:hint="eastAsia" w:ascii="宋体" w:hAnsi="宋体" w:eastAsia="宋体" w:cs="宋体"/>
          <w:sz w:val="21"/>
          <w:szCs w:val="21"/>
        </w:rPr>
        <w:t>文件</w:t>
      </w:r>
    </w:p>
    <w:p w14:paraId="33AF21BB">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color w:val="000000"/>
          <w:sz w:val="24"/>
          <w:szCs w:val="24"/>
          <w:highlight w:val="none"/>
        </w:rPr>
      </w:pPr>
    </w:p>
    <w:p w14:paraId="4BF4165A">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p>
    <w:p w14:paraId="02CEC30D">
      <w:pPr>
        <w:keepNext w:val="0"/>
        <w:keepLines w:val="0"/>
        <w:pageBreakBefore w:val="0"/>
        <w:widowControl w:val="0"/>
        <w:kinsoku/>
        <w:wordWrap/>
        <w:overflowPunct/>
        <w:topLinePunct w:val="0"/>
        <w:autoSpaceDE/>
        <w:autoSpaceDN/>
        <w:bidi w:val="0"/>
        <w:adjustRightInd/>
        <w:snapToGrid/>
        <w:spacing w:line="360" w:lineRule="auto"/>
        <w:ind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（盖章）   </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乙</w:t>
      </w:r>
      <w:r>
        <w:rPr>
          <w:rFonts w:hint="eastAsia" w:ascii="宋体" w:hAnsi="宋体" w:eastAsia="宋体" w:cs="宋体"/>
          <w:color w:val="000000"/>
          <w:sz w:val="21"/>
          <w:szCs w:val="21"/>
          <w:highlight w:val="none"/>
        </w:rPr>
        <w:t>方：   （盖章）</w:t>
      </w:r>
    </w:p>
    <w:p w14:paraId="6C6D5271">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法定代表人（授权代表）：           法定代表人（授权代表）：</w:t>
      </w:r>
    </w:p>
    <w:p w14:paraId="0192A12D">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                         地    址：</w:t>
      </w:r>
    </w:p>
    <w:p w14:paraId="4B68A020">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                         开户银行：</w:t>
      </w:r>
    </w:p>
    <w:p w14:paraId="6391F751">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号：                         账</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号：</w:t>
      </w:r>
    </w:p>
    <w:p w14:paraId="06576EF2">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                         电    话：</w:t>
      </w:r>
    </w:p>
    <w:p w14:paraId="7EEA8FF5">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                         传    真：</w:t>
      </w:r>
    </w:p>
    <w:p w14:paraId="7EBBE008">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签约日期：   年   月   日 </w:t>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ab/>
      </w:r>
      <w:r>
        <w:rPr>
          <w:rFonts w:hint="eastAsia" w:ascii="宋体" w:hAnsi="宋体" w:eastAsia="宋体" w:cs="宋体"/>
          <w:color w:val="000000"/>
          <w:sz w:val="21"/>
          <w:szCs w:val="21"/>
          <w:highlight w:val="none"/>
        </w:rPr>
        <w:t>签约日期：   年   月   日</w:t>
      </w:r>
    </w:p>
    <w:p w14:paraId="0FD86F5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5752A">
    <w:pPr>
      <w:pStyle w:val="4"/>
      <w:rPr>
        <w:rFonts w:hint="eastAsia" w:ascii="仿宋_GB2312" w:eastAsia="仿宋_GB231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E3537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6E3537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2NDkyYTVjODZmNDllOGY5YWZiYTgyYzk2ZWI2ZDIifQ=="/>
  </w:docVars>
  <w:rsids>
    <w:rsidRoot w:val="00000000"/>
    <w:rsid w:val="1F4905BA"/>
    <w:rsid w:val="212E53B6"/>
    <w:rsid w:val="3CE25337"/>
    <w:rsid w:val="45811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footer"/>
    <w:basedOn w:val="1"/>
    <w:qFormat/>
    <w:uiPriority w:val="0"/>
    <w:pPr>
      <w:tabs>
        <w:tab w:val="center" w:pos="4153"/>
        <w:tab w:val="right" w:pos="8306"/>
      </w:tabs>
      <w:snapToGrid w:val="0"/>
      <w:jc w:val="left"/>
    </w:pPr>
    <w:rPr>
      <w:sz w:val="18"/>
      <w:szCs w:val="24"/>
    </w:rPr>
  </w:style>
  <w:style w:type="paragraph" w:styleId="5">
    <w:name w:val="Title"/>
    <w:basedOn w:val="1"/>
    <w:next w:val="1"/>
    <w:qFormat/>
    <w:uiPriority w:val="0"/>
    <w:pPr>
      <w:spacing w:before="240" w:after="60"/>
      <w:jc w:val="center"/>
      <w:outlineLvl w:val="0"/>
    </w:pPr>
    <w:rPr>
      <w:rFonts w:ascii="Cambria" w:hAnsi="Cambria" w:eastAsia="方正小标宋简体"/>
      <w:bCs/>
      <w:szCs w:val="32"/>
    </w:rPr>
  </w:style>
  <w:style w:type="paragraph" w:customStyle="1" w:styleId="8">
    <w:name w:val="Body text|5"/>
    <w:basedOn w:val="1"/>
    <w:qFormat/>
    <w:uiPriority w:val="0"/>
    <w:pPr>
      <w:widowControl w:val="0"/>
      <w:shd w:val="clear" w:color="auto" w:fill="auto"/>
      <w:spacing w:after="480" w:line="500" w:lineRule="exact"/>
    </w:pPr>
    <w:rPr>
      <w:rFonts w:ascii="宋体" w:hAnsi="宋体" w:eastAsia="宋体" w:cs="宋体"/>
      <w:sz w:val="32"/>
      <w:szCs w:val="32"/>
      <w:u w:val="none"/>
      <w:shd w:val="clear" w:color="auto" w:fill="auto"/>
      <w:lang w:val="zh-TW" w:eastAsia="zh-TW" w:bidi="zh-TW"/>
    </w:rPr>
  </w:style>
  <w:style w:type="paragraph" w:customStyle="1" w:styleId="9">
    <w:name w:val="Body text|7"/>
    <w:basedOn w:val="1"/>
    <w:qFormat/>
    <w:uiPriority w:val="0"/>
    <w:pPr>
      <w:widowControl w:val="0"/>
      <w:shd w:val="clear" w:color="auto" w:fill="auto"/>
      <w:spacing w:after="100" w:line="1130" w:lineRule="exact"/>
      <w:jc w:val="center"/>
    </w:pPr>
    <w:rPr>
      <w:rFonts w:ascii="宋体" w:hAnsi="宋体" w:eastAsia="宋体" w:cs="宋体"/>
      <w:sz w:val="74"/>
      <w:szCs w:val="74"/>
      <w:u w:val="none"/>
      <w:shd w:val="clear" w:color="auto" w:fill="auto"/>
      <w:lang w:val="zh-TW" w:eastAsia="zh-TW" w:bidi="zh-TW"/>
    </w:rPr>
  </w:style>
  <w:style w:type="paragraph" w:customStyle="1" w:styleId="10">
    <w:name w:val="Body text|6"/>
    <w:basedOn w:val="1"/>
    <w:qFormat/>
    <w:uiPriority w:val="0"/>
    <w:pPr>
      <w:widowControl w:val="0"/>
      <w:shd w:val="clear" w:color="auto" w:fill="auto"/>
      <w:spacing w:after="100"/>
      <w:jc w:val="center"/>
    </w:pPr>
    <w:rPr>
      <w:sz w:val="30"/>
      <w:szCs w:val="30"/>
      <w:u w:val="none"/>
      <w:shd w:val="clear" w:color="auto" w:fill="auto"/>
    </w:rPr>
  </w:style>
  <w:style w:type="paragraph" w:customStyle="1" w:styleId="11">
    <w:name w:val="Heading #2|1"/>
    <w:basedOn w:val="1"/>
    <w:qFormat/>
    <w:uiPriority w:val="0"/>
    <w:pPr>
      <w:widowControl w:val="0"/>
      <w:shd w:val="clear" w:color="auto" w:fill="auto"/>
      <w:jc w:val="center"/>
      <w:outlineLvl w:val="1"/>
    </w:pPr>
    <w:rPr>
      <w:rFonts w:ascii="宋体" w:hAnsi="宋体" w:eastAsia="宋体" w:cs="宋体"/>
      <w:sz w:val="44"/>
      <w:szCs w:val="44"/>
      <w:u w:val="none"/>
      <w:shd w:val="clear" w:color="auto" w:fill="auto"/>
      <w:lang w:val="zh-TW" w:eastAsia="zh-TW" w:bidi="zh-TW"/>
    </w:rPr>
  </w:style>
  <w:style w:type="paragraph" w:customStyle="1" w:styleId="12">
    <w:name w:val="Body text|2"/>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3">
    <w:name w:val="Body text|1"/>
    <w:basedOn w:val="1"/>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14">
    <w:name w:val="Table caption|1"/>
    <w:basedOn w:val="1"/>
    <w:qFormat/>
    <w:uiPriority w:val="0"/>
    <w:pPr>
      <w:widowControl w:val="0"/>
      <w:shd w:val="clear" w:color="auto" w:fill="auto"/>
    </w:pPr>
    <w:rPr>
      <w:rFonts w:ascii="宋体" w:hAnsi="宋体" w:eastAsia="宋体" w:cs="宋体"/>
      <w:sz w:val="28"/>
      <w:szCs w:val="28"/>
      <w:u w:val="none"/>
      <w:shd w:val="clear" w:color="auto" w:fill="auto"/>
      <w:lang w:val="zh-TW" w:eastAsia="zh-TW" w:bidi="zh-TW"/>
    </w:rPr>
  </w:style>
  <w:style w:type="paragraph" w:customStyle="1" w:styleId="15">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6">
    <w:name w:val="Body text|4"/>
    <w:basedOn w:val="1"/>
    <w:qFormat/>
    <w:uiPriority w:val="0"/>
    <w:pPr>
      <w:widowControl w:val="0"/>
      <w:shd w:val="clear" w:color="auto" w:fill="auto"/>
      <w:ind w:firstLine="540"/>
    </w:pPr>
    <w:rPr>
      <w:sz w:val="22"/>
      <w:szCs w:val="22"/>
      <w:u w:val="none"/>
      <w:shd w:val="clear" w:color="auto" w:fill="auto"/>
    </w:rPr>
  </w:style>
  <w:style w:type="paragraph" w:customStyle="1" w:styleId="17">
    <w:name w:val="Header or footer|1"/>
    <w:basedOn w:val="1"/>
    <w:qFormat/>
    <w:uiPriority w:val="0"/>
    <w:pPr>
      <w:widowControl w:val="0"/>
      <w:shd w:val="clear" w:color="auto" w:fill="auto"/>
    </w:pPr>
    <w:rPr>
      <w:sz w:val="22"/>
      <w:szCs w:val="22"/>
      <w:u w:val="none"/>
      <w:shd w:val="clear" w:color="auto" w:fill="auto"/>
      <w:lang w:val="zh-TW" w:eastAsia="zh-TW" w:bidi="zh-TW"/>
    </w:rPr>
  </w:style>
  <w:style w:type="paragraph" w:customStyle="1" w:styleId="18">
    <w:name w:val="Header or footer|2"/>
    <w:basedOn w:val="1"/>
    <w:qFormat/>
    <w:uiPriority w:val="0"/>
    <w:pPr>
      <w:widowControl w:val="0"/>
      <w:shd w:val="clear" w:color="auto" w:fill="auto"/>
    </w:pPr>
    <w:rPr>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2740</Words>
  <Characters>2882</Characters>
  <Lines>0</Lines>
  <Paragraphs>0</Paragraphs>
  <TotalTime>0</TotalTime>
  <ScaleCrop>false</ScaleCrop>
  <LinksUpToDate>false</LinksUpToDate>
  <CharactersWithSpaces>2974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2024-11-11T14:32:00Z</dcterms:created>
  <dc:creator>Administrator</dc:creator>
  <cp:lastModifiedBy>连杰</cp:lastModifiedBy>
  <dcterms:modified xsi:type="dcterms:W3CDTF">2026-04-16T08:42:33Z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25C1794D7BD04D8380347E27A3172CE5_12</vt:lpwstr>
  </property>
  <property fmtid="{D5CDD505-2E9C-101B-9397-08002B2CF9AE}" pid="4" name="KSOTemplateDocerSaveRecord">
    <vt:lpwstr>eyJoZGlkIjoiYjY1OWZmN2YwYjlkNTNiNTA5NjRhNGNmYzlmZmM3MzciLCJ1c2VySWQiOiI0MzQ4NTIyNDMifQ==</vt:lpwstr>
  </property>
</Properties>
</file>