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版本号：GYGJ2026—ZCTP00520260420001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未央区公务用车配备更新项目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GYGJ2026—ZCTP005</w:t>
      </w:r>
      <w:r>
        <w:br/>
      </w:r>
      <w:r>
        <w:br/>
      </w:r>
      <w:r>
        <w:br/>
      </w:r>
    </w:p>
    <w:p>
      <w:pPr>
        <w:pStyle w:val="null3"/>
        <w:jc w:val="center"/>
        <w:outlineLvl w:val="2"/>
      </w:pPr>
      <w:r>
        <w:rPr>
          <w:rFonts w:ascii="仿宋_GB2312" w:hAnsi="仿宋_GB2312" w:cs="仿宋_GB2312" w:eastAsia="仿宋_GB2312"/>
          <w:sz w:val="28"/>
          <w:b/>
        </w:rPr>
        <w:t>西安市未央区机关事务服务中心</w:t>
      </w:r>
    </w:p>
    <w:p>
      <w:pPr>
        <w:pStyle w:val="null3"/>
        <w:jc w:val="center"/>
        <w:outlineLvl w:val="2"/>
      </w:pPr>
      <w:r>
        <w:rPr>
          <w:rFonts w:ascii="仿宋_GB2312" w:hAnsi="仿宋_GB2312" w:cs="仿宋_GB2312" w:eastAsia="仿宋_GB2312"/>
          <w:sz w:val="28"/>
          <w:b/>
        </w:rPr>
        <w:t>国煜国际招标有限公司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国煜国际招标有限公司</w:t>
      </w:r>
      <w:r>
        <w:rPr>
          <w:rFonts w:ascii="仿宋_GB2312" w:hAnsi="仿宋_GB2312" w:cs="仿宋_GB2312" w:eastAsia="仿宋_GB2312"/>
        </w:rPr>
        <w:t>（以下简称“代理机构”）受</w:t>
      </w:r>
      <w:r>
        <w:rPr>
          <w:rFonts w:ascii="仿宋_GB2312" w:hAnsi="仿宋_GB2312" w:cs="仿宋_GB2312" w:eastAsia="仿宋_GB2312"/>
        </w:rPr>
        <w:t>西安市未央区机关事务服务中心</w:t>
      </w:r>
      <w:r>
        <w:rPr>
          <w:rFonts w:ascii="仿宋_GB2312" w:hAnsi="仿宋_GB2312" w:cs="仿宋_GB2312" w:eastAsia="仿宋_GB2312"/>
        </w:rPr>
        <w:t>委托，拟对</w:t>
      </w:r>
      <w:r>
        <w:rPr>
          <w:rFonts w:ascii="仿宋_GB2312" w:hAnsi="仿宋_GB2312" w:cs="仿宋_GB2312" w:eastAsia="仿宋_GB2312"/>
        </w:rPr>
        <w:t>未央区公务用车配备更新项目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GYGJ2026—ZCTP005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未央区公务用车配备更新项目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采购一批纯电新能源两厢轿车，共计20辆。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参加本项目的合法授权人授权委托书：供应商应授权合法的人员参加投标全过程，其中法定代表人直接参加谈判的，须出具法人身份证明，并与营业执照上信息一致。法定代表人授权代表参加谈判的，须出具法定代表人授权书及授权代表身份证，授权代表须提供本单位养老保险缴纳证明；</w:t>
      </w:r>
    </w:p>
    <w:p>
      <w:pPr>
        <w:pStyle w:val="null3"/>
      </w:pPr>
      <w:r>
        <w:rPr>
          <w:rFonts w:ascii="仿宋_GB2312" w:hAnsi="仿宋_GB2312" w:cs="仿宋_GB2312" w:eastAsia="仿宋_GB2312"/>
        </w:rPr>
        <w:t>2、信誉记录：供应商递交响应文件截止时间前在“信用中国”网站（www.creditchina.gov.cn）上被列入失信被执行人、重大税收违法失信主体和中国政府采购网（www.ccgp.gov.cn）被列入政府采购严重违法失信行为记录名单的，不得参加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西安市未央区机关事务服务中心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未央区未央路辅路与龙首北路西段交叉口西北120米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西安市未央区机关事务服务中心经办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029-86268925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国煜国际招标有限公司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西安市经济技术开发区凤城七路长和国际D座20层2006-1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马倩、史佑先、盛莉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17392738821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采购包1：1,455,000.00元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代理服务费收费标准：代理服务费以中标价为基准，根据国家计委关于印发《招标代理服务收费管理暂行办法的通知》（计价格[2002]1980号）计费标准收取。 户 名：国煜国际招标有限公司 开户银行：中国民生银行股份有限公司西安文景路支行 账 号：655451982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西安市未央区机关事务服务中心</w:t>
      </w:r>
      <w:r>
        <w:rPr>
          <w:rFonts w:ascii="仿宋_GB2312" w:hAnsi="仿宋_GB2312" w:cs="仿宋_GB2312" w:eastAsia="仿宋_GB2312"/>
        </w:rPr>
        <w:t>和</w:t>
      </w:r>
      <w:r>
        <w:rPr>
          <w:rFonts w:ascii="仿宋_GB2312" w:hAnsi="仿宋_GB2312" w:cs="仿宋_GB2312" w:eastAsia="仿宋_GB2312"/>
        </w:rPr>
        <w:t>国煜国际招标有限公司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西安市未央区机关事务服务中心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国煜国际招标有限公司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西安市未央区机关事务服务中心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国煜国际招标有限公司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供应商所提供的产品性能及质量应符合现行国家、行业标准，达到合格产品的要求。 产品必须为符合国家质量标准的原厂、全新、正品产品，产品须为国标产品，须提供工信部公告，供应商应在产品使用期限内，承担所提供的产品因自身质量原因产生的责任。</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国煜国际招标有限公司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国煜国际招标有限公司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国煜国际招标有限公司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联系人：马倩</w:t>
      </w:r>
    </w:p>
    <w:p>
      <w:pPr>
        <w:pStyle w:val="null3"/>
      </w:pPr>
      <w:r>
        <w:rPr>
          <w:rFonts w:ascii="仿宋_GB2312" w:hAnsi="仿宋_GB2312" w:cs="仿宋_GB2312" w:eastAsia="仿宋_GB2312"/>
        </w:rPr>
        <w:t>联系电话：17392738821</w:t>
      </w:r>
    </w:p>
    <w:p>
      <w:pPr>
        <w:pStyle w:val="null3"/>
      </w:pPr>
      <w:r>
        <w:rPr>
          <w:rFonts w:ascii="仿宋_GB2312" w:hAnsi="仿宋_GB2312" w:cs="仿宋_GB2312" w:eastAsia="仿宋_GB2312"/>
        </w:rPr>
        <w:t>地址：西安市经济技术开发区凤城七路长和国际D座20层2006-1</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采购一批纯电新能源两厢轿车，共计20辆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1,455,000.00</w:t>
      </w:r>
    </w:p>
    <w:p>
      <w:pPr>
        <w:pStyle w:val="null3"/>
      </w:pPr>
      <w:r>
        <w:rPr>
          <w:rFonts w:ascii="仿宋_GB2312" w:hAnsi="仿宋_GB2312" w:cs="仿宋_GB2312" w:eastAsia="仿宋_GB2312"/>
        </w:rPr>
        <w:t>采购包最高限价（元）: 1,455,000.00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新能源汽车</w:t>
            </w:r>
          </w:p>
        </w:tc>
        <w:tc>
          <w:tcPr>
            <w:tcW w:type="dxa" w:w="831"/>
          </w:tcPr>
          <w:p>
            <w:pPr>
              <w:pStyle w:val="null3"/>
              <w:jc w:val="right"/>
            </w:pPr>
            <w:r>
              <w:rPr>
                <w:rFonts w:ascii="仿宋_GB2312" w:hAnsi="仿宋_GB2312" w:cs="仿宋_GB2312" w:eastAsia="仿宋_GB2312"/>
              </w:rPr>
              <w:t>20.00</w:t>
            </w:r>
          </w:p>
        </w:tc>
        <w:tc>
          <w:tcPr>
            <w:tcW w:type="dxa" w:w="831"/>
          </w:tcPr>
          <w:p>
            <w:pPr>
              <w:pStyle w:val="null3"/>
              <w:jc w:val="right"/>
            </w:pPr>
            <w:r>
              <w:rPr>
                <w:rFonts w:ascii="仿宋_GB2312" w:hAnsi="仿宋_GB2312" w:cs="仿宋_GB2312" w:eastAsia="仿宋_GB2312"/>
              </w:rPr>
              <w:t>1,455,000.00</w:t>
            </w:r>
          </w:p>
        </w:tc>
        <w:tc>
          <w:tcPr>
            <w:tcW w:type="dxa" w:w="831"/>
          </w:tcPr>
          <w:p>
            <w:pPr>
              <w:pStyle w:val="null3"/>
            </w:pPr>
            <w:r>
              <w:rPr>
                <w:rFonts w:ascii="仿宋_GB2312" w:hAnsi="仿宋_GB2312" w:cs="仿宋_GB2312" w:eastAsia="仿宋_GB2312"/>
              </w:rPr>
              <w:t>辆</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标的名称：新能源汽车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一、采购内容</w:t>
            </w:r>
          </w:p>
          <w:tbl>
            <w:tblPr>
              <w:tblInd w:type="dxa" w:w="120"/>
              <w:tblBorders>
                <w:top w:val="none" w:color="000000" w:sz="4"/>
                <w:left w:val="none" w:color="000000" w:sz="4"/>
                <w:bottom w:val="none" w:color="000000" w:sz="4"/>
                <w:right w:val="none" w:color="000000" w:sz="4"/>
                <w:insideH w:val="none"/>
                <w:insideV w:val="none"/>
              </w:tblBorders>
            </w:tblPr>
            <w:tblGrid>
              <w:gridCol w:w="181"/>
              <w:gridCol w:w="742"/>
              <w:gridCol w:w="624"/>
              <w:gridCol w:w="502"/>
              <w:gridCol w:w="497"/>
            </w:tblGrid>
            <w:tr>
              <w:tc>
                <w:tcPr>
                  <w:tcW w:type="dxa" w:w="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7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6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5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4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纯电新能源两厢轿车</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rPr>
                    <w:t>（核心产品）</w:t>
                  </w:r>
                </w:p>
              </w:tc>
            </w:tr>
          </w:tbl>
          <w:p>
            <w:pPr>
              <w:pStyle w:val="null3"/>
              <w:jc w:val="both"/>
            </w:pPr>
            <w:r>
              <w:rPr>
                <w:rFonts w:ascii="仿宋_GB2312" w:hAnsi="仿宋_GB2312" w:cs="仿宋_GB2312" w:eastAsia="仿宋_GB2312"/>
                <w:sz w:val="21"/>
                <w:b/>
              </w:rPr>
              <w:t>二、技术要求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车辆外形尺寸</w:t>
            </w:r>
            <w:r>
              <w:rPr>
                <w:rFonts w:ascii="仿宋_GB2312" w:hAnsi="仿宋_GB2312" w:cs="仿宋_GB2312" w:eastAsia="仿宋_GB2312"/>
                <w:sz w:val="21"/>
              </w:rPr>
              <w:t>(mm)≥4</w:t>
            </w:r>
            <w:r>
              <w:rPr>
                <w:rFonts w:ascii="仿宋_GB2312" w:hAnsi="仿宋_GB2312" w:cs="仿宋_GB2312" w:eastAsia="仿宋_GB2312"/>
                <w:sz w:val="21"/>
              </w:rPr>
              <w:t>000*</w:t>
            </w:r>
            <w:r>
              <w:rPr>
                <w:rFonts w:ascii="仿宋_GB2312" w:hAnsi="仿宋_GB2312" w:cs="仿宋_GB2312" w:eastAsia="仿宋_GB2312"/>
                <w:sz w:val="21"/>
              </w:rPr>
              <w:t>1</w:t>
            </w:r>
            <w:r>
              <w:rPr>
                <w:rFonts w:ascii="仿宋_GB2312" w:hAnsi="仿宋_GB2312" w:cs="仿宋_GB2312" w:eastAsia="仿宋_GB2312"/>
                <w:sz w:val="21"/>
              </w:rPr>
              <w:t>700</w:t>
            </w:r>
            <w:r>
              <w:rPr>
                <w:rFonts w:ascii="仿宋_GB2312" w:hAnsi="仿宋_GB2312" w:cs="仿宋_GB2312" w:eastAsia="仿宋_GB2312"/>
                <w:sz w:val="21"/>
              </w:rPr>
              <w:t>*15</w:t>
            </w:r>
            <w:r>
              <w:rPr>
                <w:rFonts w:ascii="仿宋_GB2312" w:hAnsi="仿宋_GB2312" w:cs="仿宋_GB2312" w:eastAsia="仿宋_GB2312"/>
                <w:sz w:val="21"/>
              </w:rPr>
              <w:t>00</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最大满载质量</w:t>
            </w:r>
            <w:r>
              <w:rPr>
                <w:rFonts w:ascii="仿宋_GB2312" w:hAnsi="仿宋_GB2312" w:cs="仿宋_GB2312" w:eastAsia="仿宋_GB2312"/>
                <w:sz w:val="21"/>
              </w:rPr>
              <w:t>(kg)≥</w:t>
            </w:r>
            <w:r>
              <w:rPr>
                <w:rFonts w:ascii="仿宋_GB2312" w:hAnsi="仿宋_GB2312" w:cs="仿宋_GB2312" w:eastAsia="仿宋_GB2312"/>
                <w:sz w:val="21"/>
              </w:rPr>
              <w:t>15</w:t>
            </w:r>
            <w:r>
              <w:rPr>
                <w:rFonts w:ascii="仿宋_GB2312" w:hAnsi="仿宋_GB2312" w:cs="仿宋_GB2312" w:eastAsia="仿宋_GB2312"/>
                <w:sz w:val="21"/>
              </w:rPr>
              <w:t>0</w:t>
            </w:r>
            <w:r>
              <w:rPr>
                <w:rFonts w:ascii="仿宋_GB2312" w:hAnsi="仿宋_GB2312" w:cs="仿宋_GB2312" w:eastAsia="仿宋_GB2312"/>
                <w:sz w:val="21"/>
              </w:rPr>
              <w:t>0</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整备质量</w:t>
            </w:r>
            <w:r>
              <w:rPr>
                <w:rFonts w:ascii="仿宋_GB2312" w:hAnsi="仿宋_GB2312" w:cs="仿宋_GB2312" w:eastAsia="仿宋_GB2312"/>
                <w:sz w:val="21"/>
              </w:rPr>
              <w:t>(kg)≥</w:t>
            </w:r>
            <w:r>
              <w:rPr>
                <w:rFonts w:ascii="仿宋_GB2312" w:hAnsi="仿宋_GB2312" w:cs="仿宋_GB2312" w:eastAsia="仿宋_GB2312"/>
                <w:sz w:val="21"/>
              </w:rPr>
              <w:t>1</w:t>
            </w:r>
            <w:r>
              <w:rPr>
                <w:rFonts w:ascii="仿宋_GB2312" w:hAnsi="仿宋_GB2312" w:cs="仿宋_GB2312" w:eastAsia="仿宋_GB2312"/>
                <w:sz w:val="21"/>
              </w:rPr>
              <w:t>100</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轴距</w:t>
            </w:r>
            <w:r>
              <w:rPr>
                <w:rFonts w:ascii="仿宋_GB2312" w:hAnsi="仿宋_GB2312" w:cs="仿宋_GB2312" w:eastAsia="仿宋_GB2312"/>
                <w:sz w:val="21"/>
              </w:rPr>
              <w:t>(mm)≥2</w:t>
            </w:r>
            <w:r>
              <w:rPr>
                <w:rFonts w:ascii="仿宋_GB2312" w:hAnsi="仿宋_GB2312" w:cs="仿宋_GB2312" w:eastAsia="仿宋_GB2312"/>
                <w:sz w:val="21"/>
              </w:rPr>
              <w:t>500</w:t>
            </w:r>
          </w:p>
          <w:p>
            <w:pPr>
              <w:pStyle w:val="null3"/>
              <w:jc w:val="both"/>
            </w:pPr>
            <w:r>
              <w:rPr>
                <w:rFonts w:ascii="仿宋_GB2312" w:hAnsi="仿宋_GB2312" w:cs="仿宋_GB2312" w:eastAsia="仿宋_GB2312"/>
                <w:sz w:val="21"/>
              </w:rPr>
              <w:t>5、能源类型：纯电动</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车身类型</w:t>
            </w:r>
            <w:r>
              <w:rPr>
                <w:rFonts w:ascii="仿宋_GB2312" w:hAnsi="仿宋_GB2312" w:cs="仿宋_GB2312" w:eastAsia="仿宋_GB2312"/>
                <w:sz w:val="21"/>
              </w:rPr>
              <w:t>：乘用车</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电动机总功率（</w:t>
            </w:r>
            <w:r>
              <w:rPr>
                <w:rFonts w:ascii="仿宋_GB2312" w:hAnsi="仿宋_GB2312" w:cs="仿宋_GB2312" w:eastAsia="仿宋_GB2312"/>
                <w:sz w:val="21"/>
              </w:rPr>
              <w:t>kW）≥5</w:t>
            </w:r>
            <w:r>
              <w:rPr>
                <w:rFonts w:ascii="仿宋_GB2312" w:hAnsi="仿宋_GB2312" w:cs="仿宋_GB2312" w:eastAsia="仿宋_GB2312"/>
                <w:sz w:val="21"/>
              </w:rPr>
              <w:t>5</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电池能量</w:t>
            </w:r>
            <w:r>
              <w:rPr>
                <w:rFonts w:ascii="仿宋_GB2312" w:hAnsi="仿宋_GB2312" w:cs="仿宋_GB2312" w:eastAsia="仿宋_GB2312"/>
                <w:sz w:val="21"/>
              </w:rPr>
              <w:t>(kWh)</w:t>
            </w:r>
            <w:r>
              <w:rPr>
                <w:rFonts w:ascii="仿宋_GB2312" w:hAnsi="仿宋_GB2312" w:cs="仿宋_GB2312" w:eastAsia="仿宋_GB2312"/>
                <w:sz w:val="21"/>
              </w:rPr>
              <w:t>≥30</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电池类型：磷酸铁锂</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续航</w:t>
            </w:r>
            <w:r>
              <w:rPr>
                <w:rFonts w:ascii="仿宋_GB2312" w:hAnsi="仿宋_GB2312" w:cs="仿宋_GB2312" w:eastAsia="仿宋_GB2312"/>
                <w:sz w:val="21"/>
              </w:rPr>
              <w:t>≥300KM</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转向助力：电动助力</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车体结构：</w:t>
            </w:r>
            <w:r>
              <w:rPr>
                <w:rFonts w:ascii="仿宋_GB2312" w:hAnsi="仿宋_GB2312" w:cs="仿宋_GB2312" w:eastAsia="仿宋_GB2312"/>
                <w:sz w:val="21"/>
              </w:rPr>
              <w:t>承载式车身</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制动类型（前</w:t>
            </w:r>
            <w:r>
              <w:rPr>
                <w:rFonts w:ascii="仿宋_GB2312" w:hAnsi="仿宋_GB2312" w:cs="仿宋_GB2312" w:eastAsia="仿宋_GB2312"/>
                <w:sz w:val="21"/>
              </w:rPr>
              <w:t>/后）：前通风盘/后盘式</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驻车类型：电子驻车</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安全配置：前排双气囊</w:t>
            </w:r>
            <w:r>
              <w:rPr>
                <w:rFonts w:ascii="仿宋_GB2312" w:hAnsi="仿宋_GB2312" w:cs="仿宋_GB2312" w:eastAsia="仿宋_GB2312"/>
                <w:sz w:val="21"/>
              </w:rPr>
              <w:t>/前排侧气囊、ABS防抱死、制动力分配、刹车辅助、牵引力控制、车身稳定系统、胎压监测、安全带未系提醒</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基本配置：</w:t>
            </w:r>
            <w:r>
              <w:rPr>
                <w:rFonts w:ascii="仿宋_GB2312" w:hAnsi="仿宋_GB2312" w:cs="仿宋_GB2312" w:eastAsia="仿宋_GB2312"/>
                <w:sz w:val="21"/>
              </w:rPr>
              <w:t>支持直流快充</w:t>
            </w:r>
            <w:r>
              <w:rPr>
                <w:rFonts w:ascii="仿宋_GB2312" w:hAnsi="仿宋_GB2312" w:cs="仿宋_GB2312" w:eastAsia="仿宋_GB2312"/>
                <w:sz w:val="21"/>
              </w:rPr>
              <w:t>+交流慢充</w:t>
            </w:r>
            <w:r>
              <w:rPr>
                <w:rFonts w:ascii="仿宋_GB2312" w:hAnsi="仿宋_GB2312" w:cs="仿宋_GB2312" w:eastAsia="仿宋_GB2312"/>
                <w:sz w:val="21"/>
              </w:rPr>
              <w:t>、</w:t>
            </w:r>
            <w:r>
              <w:rPr>
                <w:rFonts w:ascii="仿宋_GB2312" w:hAnsi="仿宋_GB2312" w:cs="仿宋_GB2312" w:eastAsia="仿宋_GB2312"/>
                <w:sz w:val="21"/>
              </w:rPr>
              <w:t>具备对外放电功能；</w:t>
            </w:r>
            <w:r>
              <w:rPr>
                <w:rFonts w:ascii="仿宋_GB2312" w:hAnsi="仿宋_GB2312" w:cs="仿宋_GB2312" w:eastAsia="仿宋_GB2312"/>
                <w:sz w:val="21"/>
              </w:rPr>
              <w:t>16</w:t>
            </w:r>
            <w:r>
              <w:rPr>
                <w:rFonts w:ascii="仿宋_GB2312" w:hAnsi="仿宋_GB2312" w:cs="仿宋_GB2312" w:eastAsia="仿宋_GB2312"/>
                <w:sz w:val="21"/>
              </w:rPr>
              <w:t>英寸及以上</w:t>
            </w:r>
            <w:r>
              <w:rPr>
                <w:rFonts w:ascii="仿宋_GB2312" w:hAnsi="仿宋_GB2312" w:cs="仿宋_GB2312" w:eastAsia="仿宋_GB2312"/>
                <w:sz w:val="21"/>
              </w:rPr>
              <w:t>轮胎、倒车影</w:t>
            </w:r>
            <w:r>
              <w:rPr>
                <w:rFonts w:ascii="仿宋_GB2312" w:hAnsi="仿宋_GB2312" w:cs="仿宋_GB2312" w:eastAsia="仿宋_GB2312"/>
                <w:sz w:val="21"/>
              </w:rPr>
              <w:t>像</w:t>
            </w:r>
            <w:r>
              <w:rPr>
                <w:rFonts w:ascii="仿宋_GB2312" w:hAnsi="仿宋_GB2312" w:cs="仿宋_GB2312" w:eastAsia="仿宋_GB2312"/>
                <w:sz w:val="21"/>
              </w:rPr>
              <w:t>、倒车雷达、遥控钥匙</w:t>
            </w:r>
            <w:r>
              <w:rPr>
                <w:rFonts w:ascii="仿宋_GB2312" w:hAnsi="仿宋_GB2312" w:cs="仿宋_GB2312" w:eastAsia="仿宋_GB2312"/>
                <w:sz w:val="21"/>
              </w:rPr>
              <w:t>/蓝牙钥匙、</w:t>
            </w:r>
            <w:r>
              <w:rPr>
                <w:rFonts w:ascii="仿宋_GB2312" w:hAnsi="仿宋_GB2312" w:cs="仿宋_GB2312" w:eastAsia="仿宋_GB2312"/>
                <w:sz w:val="21"/>
              </w:rPr>
              <w:t>中控</w:t>
            </w:r>
            <w:r>
              <w:rPr>
                <w:rFonts w:ascii="仿宋_GB2312" w:hAnsi="仿宋_GB2312" w:cs="仿宋_GB2312" w:eastAsia="仿宋_GB2312"/>
                <w:sz w:val="21"/>
              </w:rPr>
              <w:t>触控液晶屏、四窗</w:t>
            </w:r>
            <w:r>
              <w:rPr>
                <w:rFonts w:ascii="仿宋_GB2312" w:hAnsi="仿宋_GB2312" w:cs="仿宋_GB2312" w:eastAsia="仿宋_GB2312"/>
                <w:sz w:val="21"/>
              </w:rPr>
              <w:t>电动</w:t>
            </w:r>
            <w:r>
              <w:rPr>
                <w:rFonts w:ascii="仿宋_GB2312" w:hAnsi="仿宋_GB2312" w:cs="仿宋_GB2312" w:eastAsia="仿宋_GB2312"/>
                <w:sz w:val="21"/>
              </w:rPr>
              <w:t>升降、后排座椅比例放倒</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17、所投车辆须在工业和信息化部公布的《道路机动车辆生产企业及产品公告》目录内。（提供相关证明材料）</w:t>
            </w:r>
          </w:p>
          <w:p>
            <w:pPr>
              <w:pStyle w:val="null3"/>
              <w:jc w:val="both"/>
            </w:pPr>
            <w:r>
              <w:rPr>
                <w:rFonts w:ascii="仿宋_GB2312" w:hAnsi="仿宋_GB2312" w:cs="仿宋_GB2312" w:eastAsia="仿宋_GB2312"/>
                <w:sz w:val="28"/>
                <w:b/>
              </w:rPr>
              <w:t>三、商务要求</w:t>
            </w:r>
          </w:p>
          <w:p>
            <w:pPr>
              <w:pStyle w:val="null3"/>
              <w:jc w:val="both"/>
            </w:pPr>
            <w:r>
              <w:rPr>
                <w:rFonts w:ascii="仿宋_GB2312" w:hAnsi="仿宋_GB2312" w:cs="仿宋_GB2312" w:eastAsia="仿宋_GB2312"/>
                <w:sz w:val="21"/>
              </w:rPr>
              <w:t>1、质量要求：供应商所提供的产品性能及质量应符合现行国家、行业标准，达到合格产品的要求。</w:t>
            </w:r>
          </w:p>
          <w:p>
            <w:pPr>
              <w:pStyle w:val="null3"/>
              <w:jc w:val="both"/>
            </w:pPr>
            <w:r>
              <w:rPr>
                <w:rFonts w:ascii="仿宋_GB2312" w:hAnsi="仿宋_GB2312" w:cs="仿宋_GB2312" w:eastAsia="仿宋_GB2312"/>
                <w:sz w:val="21"/>
              </w:rPr>
              <w:t>产品必须为符合国家质量标准的原厂、全新、正品产品，产品须为国标产品，须提供工信部公告，供应商应在产品使用期限内，承担所提供的产品因自身质量原因产生的责任；</w:t>
            </w:r>
          </w:p>
          <w:p>
            <w:pPr>
              <w:pStyle w:val="null3"/>
              <w:jc w:val="both"/>
            </w:pPr>
            <w:r>
              <w:rPr>
                <w:rFonts w:ascii="仿宋_GB2312" w:hAnsi="仿宋_GB2312" w:cs="仿宋_GB2312" w:eastAsia="仿宋_GB2312"/>
                <w:sz w:val="21"/>
              </w:rPr>
              <w:t>2、质保期：三电终身质保，整车质保不少于6年或15万公里；</w:t>
            </w:r>
          </w:p>
          <w:p>
            <w:pPr>
              <w:pStyle w:val="null3"/>
              <w:jc w:val="both"/>
            </w:pPr>
            <w:r>
              <w:rPr>
                <w:rFonts w:ascii="仿宋_GB2312" w:hAnsi="仿宋_GB2312" w:cs="仿宋_GB2312" w:eastAsia="仿宋_GB2312"/>
                <w:sz w:val="21"/>
              </w:rPr>
              <w:t>3、售后服务响应时间:对采购人反映的任何问题2小时内响应，24小时内解决问题(重大故障 72 小时内解决问题)；</w:t>
            </w:r>
          </w:p>
          <w:p>
            <w:pPr>
              <w:pStyle w:val="null3"/>
            </w:pPr>
            <w:r>
              <w:rPr>
                <w:rFonts w:ascii="仿宋_GB2312" w:hAnsi="仿宋_GB2312" w:cs="仿宋_GB2312" w:eastAsia="仿宋_GB2312"/>
                <w:sz w:val="21"/>
              </w:rPr>
              <w:t>4、本项目预算包含车辆价款、车辆购置税、车辆保险（交强险、第三者责任险(≥200万)、车损险、驾乘险等）、车辆挂牌及13%增值税、材料、运输、维修安装、检测、调试、安全措施、技术服务、利润等与本项目有关的所有费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采购人指定地点，供应商负责运送</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全部产品到达采购人指定地点并验收合格后，中标供应商向采购人提供与合同总价款等额的正式增值税发票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供应商所提供的产品性能及质量应符合现行国家、行业标准，达到合格产品的要求。 产品必须为符合国家质量标准的原厂、全新、正品产品，产品须为国标产品，须提供工信部公告，供应商应在产品使用期限内，承担所提供的产品因自身质量原因产生的责任。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质量要求：供应商所提供的产品性能及质量应符合现行国家、行业标准，达到合格产品的要求。 产品必须为符合国家质量标准的原厂、全新、正品产品，产品须为国标产品，须提供工信部公告，供应商应在产品使用期限内，承担所提供的产品因自身质量原因产生的责任； 2、质保期：三电终身质保，整车质保不少于6年或15万公里。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2、未按合同要求提供服务或服务质量不能满足技术要求，采购人有权终止合同，并对供方违约行为进行追究，同时按《中华人民共和国政府采购法》的 有关规定进行处罚。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(1)具有独立承担民事责任能力的法人、其他组织或自然人，并出具合法有效的相关证明材料。供应商需在项目电子化交易系统中按要求上传相应证明文件并进行电子签章。 (2)提供2024或2025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 (3)提供2025年4月至今已缴纳的1个月的纳税证明或完税证明，依法免税的单位应提供相关证明材料。此项可提供基本资格条件承诺函。供应商需在项目电子化交易系统中按要求上传相应证明文件并进行电子签章。 (4)提供2025年4月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 (5)提供具有履行合同所必需的设备和专业技术能力的承诺。此项可提供基本资格条件承诺函。供应商需在项目电子化交易系统中按要求上传相应证明文件并进行电子签章。 (6)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供应商参加本项目的合法授权人授权委托书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谈判的，须出具法人身份证明，并与营业执照上信息一致。法定代表人授权代表参加谈判的，须出具法定代表人授权书及授权代表身份证，授权代表须提供本单位养老保险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信誉记录</w:t>
            </w:r>
          </w:p>
        </w:tc>
        <w:tc>
          <w:tcPr>
            <w:tcW w:type="dxa" w:w="3322"/>
          </w:tcPr>
          <w:p>
            <w:pPr>
              <w:pStyle w:val="null3"/>
            </w:pPr>
            <w:r>
              <w:rPr>
                <w:rFonts w:ascii="仿宋_GB2312" w:hAnsi="仿宋_GB2312" w:cs="仿宋_GB2312" w:eastAsia="仿宋_GB2312"/>
              </w:rPr>
              <w:t>供应商递交响应文件截止时间前在“信用中国”网站（www.creditchina.gov.cn）上被列入失信被执行人、重大税收违法失信主体和中国政府采购网（www.ccgp.gov.cn）被列入政府采购严重违法失信行为记录名单的，不得参加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在谈判过程中，谈判小组认为供应商的报价明显低于其他通过符合性审查供应商的报价，有可能影响产品质量或者不能诚信履约的，谈判小组启动异常低价投标审查程序: (1)响应报价低于全部通过符合性审查供应商报价平均值65%的，即响应报价《全部通过符合性审查供应商响应报价平均值×65%; (2)响应报价低于通过符合性审查的次低报价供应商报价65%的，即响应报价《通过符合性审查的次低报价供应商响应报价×65%; (3)响应报价低于采购项目最高限价65%的，即响应报价＜采购项目最高限价×65%; (4)谈判小组认为供应商报价过低，有可能影响产品质量或者不能诚信履约的其他情形。 谈判小组启动异常低价投标审查程序后，相关供应商应当在合理的时间内对投标价格作出解释，提供项目具体成本测算等与报价合理性相关的书面说明及必要的证明材料，包括但不限于原材料成本、人工成本、制造费用等。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谈判文件签署、盖章</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对谈判文件的响应程度</w:t>
            </w:r>
          </w:p>
        </w:tc>
        <w:tc>
          <w:tcPr>
            <w:tcW w:type="dxa" w:w="3322"/>
          </w:tcPr>
          <w:p>
            <w:pPr>
              <w:pStyle w:val="null3"/>
            </w:pPr>
            <w:r>
              <w:rPr>
                <w:rFonts w:ascii="仿宋_GB2312" w:hAnsi="仿宋_GB2312" w:cs="仿宋_GB2312" w:eastAsia="仿宋_GB2312"/>
              </w:rPr>
              <w:t>完全响应，不能有采购人不能接受的附加条件</w:t>
            </w:r>
          </w:p>
        </w:tc>
        <w:tc>
          <w:tcPr>
            <w:tcW w:type="dxa" w:w="1661"/>
          </w:tcPr>
          <w:p>
            <w:pPr>
              <w:pStyle w:val="null3"/>
            </w:pPr>
            <w:r>
              <w:rPr>
                <w:rFonts w:ascii="仿宋_GB2312" w:hAnsi="仿宋_GB2312" w:cs="仿宋_GB2312" w:eastAsia="仿宋_GB2312"/>
              </w:rPr>
              <w:t>产品技术参数表 商务应答表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满足谈判文件中的要求</w:t>
            </w:r>
          </w:p>
        </w:tc>
        <w:tc>
          <w:tcPr>
            <w:tcW w:type="dxa" w:w="1661"/>
          </w:tcPr>
          <w:p>
            <w:pPr>
              <w:pStyle w:val="null3"/>
            </w:pPr>
            <w:r>
              <w:rPr>
                <w:rFonts w:ascii="仿宋_GB2312" w:hAnsi="仿宋_GB2312" w:cs="仿宋_GB2312" w:eastAsia="仿宋_GB2312"/>
              </w:rPr>
              <w:t>产品技术参数表 商务应答表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首次报价唯一且不得高于预算金额（最高限价）</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