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BCE11">
      <w:pPr>
        <w:pStyle w:val="11"/>
        <w:jc w:val="center"/>
        <w:outlineLvl w:val="1"/>
        <w:rPr>
          <w:rFonts w:hint="default" w:ascii="宋体" w:hAnsi="宋体" w:eastAsia="宋体" w:cs="宋体"/>
        </w:rPr>
      </w:pPr>
      <w:r>
        <w:rPr>
          <w:rFonts w:ascii="宋体" w:hAnsi="宋体" w:eastAsia="宋体" w:cs="宋体"/>
          <w:b/>
          <w:sz w:val="36"/>
        </w:rPr>
        <w:t>第八章 拟签订采购合同文本</w:t>
      </w:r>
    </w:p>
    <w:p w14:paraId="799B29B5">
      <w:pPr>
        <w:pStyle w:val="7"/>
        <w:ind w:firstLine="442"/>
        <w:outlineLvl w:val="0"/>
        <w:rPr>
          <w:rFonts w:cs="宋体"/>
          <w:b/>
          <w:bCs/>
          <w:sz w:val="44"/>
          <w:szCs w:val="44"/>
        </w:rPr>
      </w:pPr>
      <w:r>
        <w:rPr>
          <w:rFonts w:hint="eastAsia" w:cs="宋体"/>
          <w:b/>
          <w:bCs/>
          <w:sz w:val="44"/>
          <w:szCs w:val="44"/>
        </w:rPr>
        <w:t>政府采购合同格式</w:t>
      </w:r>
    </w:p>
    <w:p w14:paraId="05E26AF3">
      <w:pPr>
        <w:pStyle w:val="12"/>
        <w:spacing w:line="360" w:lineRule="auto"/>
        <w:ind w:firstLine="525" w:firstLineChars="250"/>
        <w:rPr>
          <w:rFonts w:ascii="宋体" w:hAnsi="宋体"/>
          <w:sz w:val="21"/>
          <w:szCs w:val="21"/>
        </w:rPr>
      </w:pPr>
      <w:r>
        <w:rPr>
          <w:rFonts w:hint="eastAsia" w:ascii="宋体" w:hAnsi="宋体"/>
          <w:sz w:val="21"/>
          <w:szCs w:val="21"/>
        </w:rPr>
        <w:t xml:space="preserve">合同编号： </w:t>
      </w:r>
    </w:p>
    <w:p w14:paraId="5D043F41">
      <w:pPr>
        <w:pStyle w:val="12"/>
        <w:spacing w:line="360" w:lineRule="auto"/>
        <w:ind w:firstLine="525" w:firstLineChars="250"/>
        <w:rPr>
          <w:rFonts w:ascii="宋体" w:hAnsi="宋体"/>
          <w:sz w:val="21"/>
          <w:szCs w:val="21"/>
        </w:rPr>
      </w:pPr>
      <w:r>
        <w:rPr>
          <w:rFonts w:hint="eastAsia" w:ascii="宋体" w:hAnsi="宋体"/>
          <w:sz w:val="21"/>
          <w:szCs w:val="21"/>
        </w:rPr>
        <w:t xml:space="preserve">签订地点： </w:t>
      </w:r>
    </w:p>
    <w:p w14:paraId="6A8CAA59">
      <w:pPr>
        <w:pStyle w:val="12"/>
        <w:spacing w:line="360" w:lineRule="auto"/>
        <w:ind w:firstLine="525" w:firstLineChars="250"/>
        <w:rPr>
          <w:rFonts w:ascii="宋体" w:hAnsi="宋体"/>
          <w:sz w:val="21"/>
          <w:szCs w:val="21"/>
        </w:rPr>
      </w:pPr>
      <w:r>
        <w:rPr>
          <w:rFonts w:hint="eastAsia" w:ascii="宋体" w:hAnsi="宋体"/>
          <w:sz w:val="21"/>
          <w:szCs w:val="21"/>
        </w:rPr>
        <w:t>签订时间:</w:t>
      </w:r>
    </w:p>
    <w:p w14:paraId="25593AF2">
      <w:pPr>
        <w:pStyle w:val="12"/>
        <w:spacing w:line="360" w:lineRule="auto"/>
        <w:ind w:firstLine="386" w:firstLineChars="183"/>
        <w:rPr>
          <w:rFonts w:ascii="宋体" w:hAnsi="宋体"/>
          <w:b/>
          <w:bCs/>
          <w:sz w:val="21"/>
          <w:szCs w:val="21"/>
        </w:rPr>
      </w:pPr>
      <w:r>
        <w:rPr>
          <w:rFonts w:hint="eastAsia" w:ascii="宋体" w:hAnsi="宋体"/>
          <w:b/>
          <w:bCs/>
          <w:sz w:val="21"/>
          <w:szCs w:val="21"/>
        </w:rPr>
        <w:t xml:space="preserve">是否为专门面向中小企业的采购项目： </w:t>
      </w:r>
      <w:r>
        <w:rPr>
          <w:rFonts w:ascii="宋体" w:hAnsi="宋体"/>
          <w:b/>
          <w:bCs/>
          <w:sz w:val="21"/>
          <w:szCs w:val="21"/>
        </w:rPr>
        <w:t>否</w:t>
      </w:r>
    </w:p>
    <w:p w14:paraId="46D208EB">
      <w:pPr>
        <w:pStyle w:val="12"/>
        <w:spacing w:line="360" w:lineRule="auto"/>
        <w:ind w:firstLine="525" w:firstLineChars="250"/>
        <w:rPr>
          <w:rFonts w:ascii="宋体" w:hAnsi="宋体"/>
          <w:sz w:val="21"/>
          <w:szCs w:val="21"/>
        </w:rPr>
      </w:pPr>
      <w:r>
        <w:rPr>
          <w:rFonts w:hint="eastAsia" w:ascii="宋体" w:hAnsi="宋体"/>
          <w:sz w:val="21"/>
          <w:szCs w:val="21"/>
        </w:rPr>
        <w:t>采购人（甲方）：</w:t>
      </w:r>
    </w:p>
    <w:p w14:paraId="55535973">
      <w:pPr>
        <w:pStyle w:val="12"/>
        <w:spacing w:line="360" w:lineRule="auto"/>
        <w:ind w:firstLine="525" w:firstLineChars="250"/>
        <w:rPr>
          <w:rFonts w:ascii="宋体" w:hAnsi="宋体"/>
          <w:sz w:val="21"/>
          <w:szCs w:val="21"/>
        </w:rPr>
      </w:pPr>
      <w:r>
        <w:rPr>
          <w:rFonts w:hint="eastAsia" w:ascii="宋体" w:hAnsi="宋体"/>
          <w:sz w:val="21"/>
          <w:szCs w:val="21"/>
        </w:rPr>
        <w:t>供应商（乙方）：</w:t>
      </w:r>
    </w:p>
    <w:p w14:paraId="0D8B8FE8">
      <w:pPr>
        <w:pStyle w:val="12"/>
        <w:spacing w:line="360" w:lineRule="auto"/>
        <w:ind w:firstLine="525" w:firstLineChars="250"/>
        <w:rPr>
          <w:rFonts w:ascii="宋体" w:hAnsi="宋体"/>
          <w:sz w:val="21"/>
          <w:szCs w:val="21"/>
        </w:rPr>
      </w:pPr>
      <w:r>
        <w:rPr>
          <w:rFonts w:hint="eastAsia" w:ascii="宋体" w:hAnsi="宋体"/>
          <w:sz w:val="21"/>
          <w:szCs w:val="21"/>
        </w:rPr>
        <w:t>根据《中华人民共和国政府采购法》及实施条例、《中华人民共和国民法典》和甲方       采购项目（采购项目编号：</w:t>
      </w:r>
      <w:r>
        <w:rPr>
          <w:rFonts w:hint="eastAsia" w:ascii="宋体" w:hAnsi="宋体"/>
          <w:sz w:val="21"/>
          <w:szCs w:val="21"/>
          <w:u w:val="single"/>
        </w:rPr>
        <w:t xml:space="preserve">          </w:t>
      </w:r>
      <w:r>
        <w:rPr>
          <w:rFonts w:hint="eastAsia" w:ascii="宋体" w:hAnsi="宋体"/>
          <w:sz w:val="21"/>
          <w:szCs w:val="21"/>
        </w:rPr>
        <w:t>）的谈判文件、响应文件等有关规定，为确保甲方采购项目的顺利实施，甲、乙双方在平等自愿原则下签订本合同，并共同遵守如下条款：</w:t>
      </w:r>
    </w:p>
    <w:p w14:paraId="6EAEBF99">
      <w:pPr>
        <w:spacing w:line="580" w:lineRule="exact"/>
        <w:rPr>
          <w:rFonts w:hAnsi="宋体" w:cs="宋体"/>
          <w:b/>
        </w:rPr>
      </w:pPr>
      <w:bookmarkStart w:id="0" w:name="_Toc21162"/>
      <w:bookmarkStart w:id="1" w:name="_Toc25616"/>
      <w:r>
        <w:rPr>
          <w:rFonts w:hint="eastAsia" w:ascii="宋体" w:hAnsi="宋体"/>
          <w:b/>
          <w:sz w:val="30"/>
          <w:szCs w:val="30"/>
        </w:rPr>
        <w:t>第一条 项目概况</w:t>
      </w:r>
    </w:p>
    <w:p w14:paraId="6DCA8FD5">
      <w:pPr>
        <w:pStyle w:val="12"/>
        <w:spacing w:line="360" w:lineRule="auto"/>
        <w:ind w:firstLine="525" w:firstLineChars="250"/>
        <w:rPr>
          <w:rFonts w:ascii="宋体" w:hAnsi="宋体"/>
          <w:sz w:val="21"/>
          <w:szCs w:val="21"/>
        </w:rPr>
      </w:pPr>
      <w:r>
        <w:rPr>
          <w:rFonts w:hint="eastAsia" w:ascii="宋体" w:hAnsi="宋体"/>
          <w:sz w:val="21"/>
          <w:szCs w:val="21"/>
        </w:rPr>
        <w:t>1. 项目名称：</w:t>
      </w:r>
      <w:r>
        <w:rPr>
          <w:rFonts w:hint="eastAsia" w:ascii="宋体" w:hAnsi="宋体"/>
          <w:sz w:val="21"/>
          <w:szCs w:val="21"/>
          <w:u w:val="single"/>
        </w:rPr>
        <w:t xml:space="preserve">                                        </w:t>
      </w:r>
      <w:r>
        <w:rPr>
          <w:rFonts w:hint="eastAsia" w:ascii="宋体" w:hAnsi="宋体"/>
          <w:sz w:val="21"/>
          <w:szCs w:val="21"/>
        </w:rPr>
        <w:t>；</w:t>
      </w:r>
    </w:p>
    <w:p w14:paraId="273C75D1">
      <w:pPr>
        <w:pStyle w:val="12"/>
        <w:spacing w:line="360" w:lineRule="auto"/>
        <w:ind w:firstLine="525" w:firstLineChars="250"/>
        <w:rPr>
          <w:rFonts w:ascii="宋体" w:hAnsi="宋体"/>
          <w:sz w:val="21"/>
          <w:szCs w:val="21"/>
        </w:rPr>
      </w:pPr>
      <w:r>
        <w:rPr>
          <w:rFonts w:hint="eastAsia" w:ascii="宋体" w:hAnsi="宋体"/>
          <w:sz w:val="21"/>
          <w:szCs w:val="21"/>
        </w:rPr>
        <w:t>2. 项目地点：</w:t>
      </w:r>
      <w:r>
        <w:rPr>
          <w:rFonts w:hint="eastAsia" w:ascii="宋体" w:hAnsi="宋体"/>
          <w:sz w:val="21"/>
          <w:szCs w:val="21"/>
          <w:u w:val="single"/>
        </w:rPr>
        <w:t xml:space="preserve">                                        </w:t>
      </w:r>
      <w:r>
        <w:rPr>
          <w:rFonts w:hint="eastAsia" w:ascii="宋体" w:hAnsi="宋体"/>
          <w:sz w:val="21"/>
          <w:szCs w:val="21"/>
        </w:rPr>
        <w:t>；</w:t>
      </w:r>
    </w:p>
    <w:p w14:paraId="6877A784">
      <w:pPr>
        <w:spacing w:line="580" w:lineRule="exact"/>
        <w:rPr>
          <w:rFonts w:ascii="宋体" w:hAnsi="宋体"/>
          <w:b/>
          <w:sz w:val="30"/>
          <w:szCs w:val="30"/>
        </w:rPr>
      </w:pPr>
      <w:r>
        <w:rPr>
          <w:rFonts w:hint="eastAsia" w:ascii="宋体" w:hAnsi="宋体"/>
          <w:b/>
          <w:sz w:val="30"/>
          <w:szCs w:val="30"/>
        </w:rPr>
        <w:t>第二条  组成本合同的文件</w:t>
      </w:r>
    </w:p>
    <w:p w14:paraId="17124740">
      <w:pPr>
        <w:pStyle w:val="12"/>
        <w:spacing w:line="360" w:lineRule="auto"/>
        <w:ind w:firstLine="525" w:firstLineChars="250"/>
        <w:rPr>
          <w:rFonts w:ascii="宋体" w:hAnsi="宋体"/>
          <w:sz w:val="21"/>
          <w:szCs w:val="21"/>
        </w:rPr>
      </w:pPr>
      <w:r>
        <w:rPr>
          <w:rFonts w:hint="eastAsia" w:ascii="宋体" w:hAnsi="宋体"/>
          <w:sz w:val="21"/>
          <w:szCs w:val="21"/>
        </w:rPr>
        <w:t>1. 协议书；</w:t>
      </w:r>
    </w:p>
    <w:p w14:paraId="5D0F11C7">
      <w:pPr>
        <w:pStyle w:val="12"/>
        <w:spacing w:line="360" w:lineRule="auto"/>
        <w:ind w:firstLine="525" w:firstLineChars="250"/>
        <w:rPr>
          <w:rFonts w:ascii="宋体" w:hAnsi="宋体"/>
          <w:sz w:val="21"/>
          <w:szCs w:val="21"/>
        </w:rPr>
      </w:pPr>
      <w:r>
        <w:rPr>
          <w:rFonts w:hint="eastAsia" w:ascii="宋体" w:hAnsi="宋体"/>
          <w:sz w:val="21"/>
          <w:szCs w:val="21"/>
        </w:rPr>
        <w:t>2. 成交通知书、谈判响应文件、竞争性谈判文件、澄清、谈判补充文件；</w:t>
      </w:r>
    </w:p>
    <w:p w14:paraId="12DE4228">
      <w:pPr>
        <w:pStyle w:val="12"/>
        <w:spacing w:line="360" w:lineRule="auto"/>
        <w:ind w:firstLine="525" w:firstLineChars="250"/>
        <w:rPr>
          <w:rFonts w:ascii="宋体" w:hAnsi="宋体"/>
          <w:sz w:val="21"/>
          <w:szCs w:val="21"/>
        </w:rPr>
      </w:pPr>
      <w:r>
        <w:rPr>
          <w:rFonts w:hint="eastAsia" w:ascii="宋体" w:hAnsi="宋体"/>
          <w:sz w:val="21"/>
          <w:szCs w:val="21"/>
        </w:rPr>
        <w:t>3. 相关服务建议书；</w:t>
      </w:r>
    </w:p>
    <w:p w14:paraId="1EAB7609">
      <w:pPr>
        <w:pStyle w:val="12"/>
        <w:spacing w:line="360" w:lineRule="auto"/>
        <w:ind w:firstLine="525" w:firstLineChars="250"/>
        <w:rPr>
          <w:rFonts w:ascii="宋体" w:hAnsi="宋体"/>
          <w:sz w:val="21"/>
          <w:szCs w:val="21"/>
        </w:rPr>
      </w:pPr>
      <w:r>
        <w:rPr>
          <w:rFonts w:hint="eastAsia" w:ascii="宋体" w:hAnsi="宋体"/>
          <w:sz w:val="21"/>
          <w:szCs w:val="21"/>
        </w:rPr>
        <w:t>4. 附录，即：附表内相关服务的范围和内容；</w:t>
      </w:r>
    </w:p>
    <w:p w14:paraId="22007B4F">
      <w:pPr>
        <w:pStyle w:val="12"/>
        <w:spacing w:line="360" w:lineRule="auto"/>
        <w:ind w:firstLine="525" w:firstLineChars="250"/>
        <w:rPr>
          <w:rFonts w:ascii="宋体" w:hAnsi="宋体"/>
          <w:sz w:val="21"/>
          <w:szCs w:val="21"/>
        </w:rPr>
      </w:pPr>
      <w:r>
        <w:rPr>
          <w:rFonts w:hint="eastAsia" w:ascii="宋体" w:hAnsi="宋体"/>
          <w:sz w:val="21"/>
          <w:szCs w:val="21"/>
        </w:rPr>
        <w:t>本合同签订后，双方依法签订的补充协议也是本合同文件的组成部分。</w:t>
      </w:r>
    </w:p>
    <w:bookmarkEnd w:id="0"/>
    <w:bookmarkEnd w:id="1"/>
    <w:p w14:paraId="3E56A06A">
      <w:pPr>
        <w:spacing w:line="580" w:lineRule="exact"/>
        <w:rPr>
          <w:rFonts w:ascii="宋体" w:hAnsi="宋体"/>
          <w:b/>
          <w:sz w:val="30"/>
          <w:szCs w:val="30"/>
        </w:rPr>
      </w:pPr>
      <w:bookmarkStart w:id="2" w:name="_Toc7071"/>
      <w:bookmarkStart w:id="3" w:name="_Toc19963"/>
      <w:r>
        <w:rPr>
          <w:rFonts w:hint="eastAsia" w:ascii="宋体" w:hAnsi="宋体"/>
          <w:b/>
          <w:sz w:val="30"/>
          <w:szCs w:val="30"/>
        </w:rPr>
        <w:t>第三条   内容及要求</w:t>
      </w:r>
    </w:p>
    <w:p w14:paraId="0028DF52">
      <w:pPr>
        <w:spacing w:after="120"/>
        <w:jc w:val="center"/>
        <w:rPr>
          <w:rFonts w:ascii="宋体" w:hAnsi="宋体" w:eastAsia="宋体" w:cs="宋体"/>
          <w:b/>
          <w:szCs w:val="21"/>
        </w:rPr>
      </w:pPr>
      <w:r>
        <w:rPr>
          <w:rFonts w:hint="eastAsia" w:ascii="宋体" w:hAnsi="宋体" w:eastAsia="宋体" w:cs="宋体"/>
          <w:b/>
          <w:szCs w:val="21"/>
        </w:rPr>
        <w:t>供货内容一览表</w:t>
      </w:r>
      <w:r>
        <w:rPr>
          <w:rFonts w:hint="eastAsia" w:ascii="宋体" w:hAnsi="宋体" w:eastAsia="宋体" w:cs="宋体"/>
          <w:szCs w:val="21"/>
        </w:rPr>
        <w:t xml:space="preserve">                                </w:t>
      </w:r>
    </w:p>
    <w:tbl>
      <w:tblPr>
        <w:tblStyle w:val="9"/>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846"/>
        <w:gridCol w:w="1756"/>
        <w:gridCol w:w="658"/>
        <w:gridCol w:w="714"/>
        <w:gridCol w:w="1116"/>
        <w:gridCol w:w="1134"/>
        <w:gridCol w:w="684"/>
      </w:tblGrid>
      <w:tr w14:paraId="3146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1FD4C7FF">
            <w:pPr>
              <w:spacing w:before="156" w:beforeLines="50" w:line="360" w:lineRule="auto"/>
              <w:jc w:val="center"/>
              <w:rPr>
                <w:rFonts w:ascii="宋体" w:hAnsi="宋体" w:eastAsia="宋体" w:cs="宋体"/>
                <w:b/>
                <w:szCs w:val="21"/>
              </w:rPr>
            </w:pPr>
            <w:r>
              <w:rPr>
                <w:rFonts w:hint="eastAsia" w:ascii="宋体" w:hAnsi="宋体" w:eastAsia="宋体" w:cs="宋体"/>
                <w:b/>
                <w:szCs w:val="21"/>
              </w:rPr>
              <w:t>序号</w:t>
            </w:r>
          </w:p>
        </w:tc>
        <w:tc>
          <w:tcPr>
            <w:tcW w:w="960" w:type="dxa"/>
            <w:vAlign w:val="center"/>
          </w:tcPr>
          <w:p w14:paraId="6AA1546C">
            <w:pPr>
              <w:spacing w:before="156" w:beforeLines="50" w:line="360" w:lineRule="auto"/>
              <w:jc w:val="center"/>
              <w:rPr>
                <w:rFonts w:ascii="宋体" w:hAnsi="宋体" w:eastAsia="宋体" w:cs="宋体"/>
                <w:b/>
                <w:szCs w:val="21"/>
              </w:rPr>
            </w:pPr>
            <w:r>
              <w:rPr>
                <w:rFonts w:hint="eastAsia" w:ascii="宋体" w:hAnsi="宋体" w:eastAsia="宋体" w:cs="宋体"/>
                <w:b/>
                <w:szCs w:val="21"/>
              </w:rPr>
              <w:t>名称</w:t>
            </w:r>
          </w:p>
        </w:tc>
        <w:tc>
          <w:tcPr>
            <w:tcW w:w="1846" w:type="dxa"/>
            <w:tcBorders>
              <w:right w:val="single" w:color="auto" w:sz="4" w:space="0"/>
            </w:tcBorders>
            <w:vAlign w:val="center"/>
          </w:tcPr>
          <w:p w14:paraId="01A2BF65">
            <w:pPr>
              <w:pStyle w:val="2"/>
              <w:adjustRightInd w:val="0"/>
              <w:snapToGrid w:val="0"/>
              <w:jc w:val="center"/>
              <w:rPr>
                <w:rFonts w:ascii="宋体" w:hAnsi="宋体" w:eastAsia="宋体" w:cs="宋体"/>
                <w:sz w:val="21"/>
                <w:szCs w:val="21"/>
              </w:rPr>
            </w:pPr>
            <w:bookmarkStart w:id="4" w:name="_Toc16727"/>
            <w:r>
              <w:rPr>
                <w:rFonts w:hint="eastAsia" w:ascii="宋体" w:hAnsi="宋体" w:eastAsia="宋体" w:cs="宋体"/>
                <w:sz w:val="21"/>
                <w:szCs w:val="21"/>
              </w:rPr>
              <w:t>品牌、规格及型号</w:t>
            </w:r>
            <w:bookmarkEnd w:id="4"/>
          </w:p>
        </w:tc>
        <w:tc>
          <w:tcPr>
            <w:tcW w:w="1756" w:type="dxa"/>
            <w:tcBorders>
              <w:left w:val="single" w:color="auto" w:sz="4" w:space="0"/>
            </w:tcBorders>
            <w:vAlign w:val="center"/>
          </w:tcPr>
          <w:p w14:paraId="7BB0808E">
            <w:pPr>
              <w:pStyle w:val="2"/>
              <w:adjustRightInd w:val="0"/>
              <w:snapToGrid w:val="0"/>
              <w:jc w:val="center"/>
              <w:rPr>
                <w:rFonts w:ascii="宋体" w:hAnsi="宋体" w:eastAsia="宋体" w:cs="宋体"/>
                <w:sz w:val="21"/>
                <w:szCs w:val="21"/>
                <w:highlight w:val="yellow"/>
              </w:rPr>
            </w:pPr>
            <w:bookmarkStart w:id="5" w:name="_Toc20101"/>
            <w:r>
              <w:rPr>
                <w:rFonts w:hint="eastAsia" w:ascii="宋体" w:hAnsi="宋体" w:eastAsia="宋体" w:cs="宋体"/>
                <w:sz w:val="21"/>
                <w:szCs w:val="21"/>
              </w:rPr>
              <w:t>原产地及制造厂名</w:t>
            </w:r>
            <w:bookmarkEnd w:id="5"/>
          </w:p>
        </w:tc>
        <w:tc>
          <w:tcPr>
            <w:tcW w:w="658" w:type="dxa"/>
            <w:tcBorders>
              <w:right w:val="single" w:color="auto" w:sz="4" w:space="0"/>
            </w:tcBorders>
            <w:vAlign w:val="center"/>
          </w:tcPr>
          <w:p w14:paraId="24997622">
            <w:pPr>
              <w:pStyle w:val="2"/>
              <w:adjustRightInd w:val="0"/>
              <w:snapToGrid w:val="0"/>
              <w:jc w:val="center"/>
              <w:rPr>
                <w:rFonts w:ascii="宋体" w:hAnsi="宋体" w:eastAsia="宋体" w:cs="宋体"/>
                <w:sz w:val="21"/>
                <w:szCs w:val="21"/>
              </w:rPr>
            </w:pPr>
            <w:bookmarkStart w:id="6" w:name="_Toc27118"/>
            <w:r>
              <w:rPr>
                <w:rFonts w:hint="eastAsia" w:ascii="宋体" w:hAnsi="宋体" w:eastAsia="宋体" w:cs="宋体"/>
                <w:sz w:val="21"/>
                <w:szCs w:val="21"/>
              </w:rPr>
              <w:t>单价</w:t>
            </w:r>
            <w:bookmarkEnd w:id="6"/>
          </w:p>
        </w:tc>
        <w:tc>
          <w:tcPr>
            <w:tcW w:w="714" w:type="dxa"/>
            <w:tcBorders>
              <w:left w:val="single" w:color="auto" w:sz="4" w:space="0"/>
              <w:right w:val="single" w:color="auto" w:sz="4" w:space="0"/>
            </w:tcBorders>
            <w:vAlign w:val="center"/>
          </w:tcPr>
          <w:p w14:paraId="15225202">
            <w:pPr>
              <w:pStyle w:val="2"/>
              <w:adjustRightInd w:val="0"/>
              <w:snapToGrid w:val="0"/>
              <w:jc w:val="center"/>
              <w:rPr>
                <w:rFonts w:ascii="宋体" w:hAnsi="宋体" w:eastAsia="宋体" w:cs="宋体"/>
                <w:sz w:val="21"/>
                <w:szCs w:val="21"/>
              </w:rPr>
            </w:pPr>
            <w:bookmarkStart w:id="7" w:name="_Toc16584"/>
            <w:r>
              <w:rPr>
                <w:rFonts w:hint="eastAsia" w:ascii="宋体" w:hAnsi="宋体" w:eastAsia="宋体" w:cs="宋体"/>
                <w:sz w:val="21"/>
                <w:szCs w:val="21"/>
              </w:rPr>
              <w:t>数量</w:t>
            </w:r>
            <w:bookmarkEnd w:id="7"/>
          </w:p>
        </w:tc>
        <w:tc>
          <w:tcPr>
            <w:tcW w:w="1116" w:type="dxa"/>
            <w:tcBorders>
              <w:left w:val="single" w:color="auto" w:sz="4" w:space="0"/>
            </w:tcBorders>
            <w:vAlign w:val="center"/>
          </w:tcPr>
          <w:p w14:paraId="222795C9">
            <w:pPr>
              <w:pStyle w:val="2"/>
              <w:jc w:val="center"/>
              <w:rPr>
                <w:rFonts w:ascii="宋体" w:hAnsi="宋体" w:eastAsia="宋体" w:cs="宋体"/>
                <w:sz w:val="21"/>
                <w:szCs w:val="21"/>
              </w:rPr>
            </w:pPr>
            <w:bookmarkStart w:id="8" w:name="_Toc11050"/>
            <w:r>
              <w:rPr>
                <w:rFonts w:hint="eastAsia" w:ascii="宋体" w:hAnsi="宋体" w:eastAsia="宋体" w:cs="宋体"/>
                <w:sz w:val="21"/>
                <w:szCs w:val="21"/>
              </w:rPr>
              <w:t>交付地点</w:t>
            </w:r>
            <w:bookmarkEnd w:id="8"/>
          </w:p>
        </w:tc>
        <w:tc>
          <w:tcPr>
            <w:tcW w:w="1134" w:type="dxa"/>
            <w:tcBorders>
              <w:right w:val="single" w:color="auto" w:sz="4" w:space="0"/>
            </w:tcBorders>
            <w:vAlign w:val="center"/>
          </w:tcPr>
          <w:p w14:paraId="75552875">
            <w:pPr>
              <w:pStyle w:val="2"/>
              <w:jc w:val="center"/>
              <w:rPr>
                <w:rFonts w:ascii="宋体" w:hAnsi="宋体" w:eastAsia="宋体" w:cs="宋体"/>
                <w:sz w:val="21"/>
                <w:szCs w:val="21"/>
              </w:rPr>
            </w:pPr>
            <w:bookmarkStart w:id="9" w:name="_Toc8351"/>
            <w:r>
              <w:rPr>
                <w:rFonts w:hint="eastAsia" w:ascii="宋体" w:hAnsi="宋体" w:eastAsia="宋体" w:cs="宋体"/>
                <w:sz w:val="21"/>
                <w:szCs w:val="21"/>
              </w:rPr>
              <w:t>交付时间</w:t>
            </w:r>
            <w:bookmarkEnd w:id="9"/>
          </w:p>
        </w:tc>
        <w:tc>
          <w:tcPr>
            <w:tcW w:w="684" w:type="dxa"/>
            <w:tcBorders>
              <w:right w:val="single" w:color="auto" w:sz="4" w:space="0"/>
            </w:tcBorders>
            <w:vAlign w:val="center"/>
          </w:tcPr>
          <w:p w14:paraId="6B6B58FA">
            <w:pPr>
              <w:pStyle w:val="2"/>
              <w:jc w:val="center"/>
              <w:rPr>
                <w:rFonts w:ascii="宋体" w:hAnsi="宋体" w:eastAsia="宋体" w:cs="宋体"/>
                <w:sz w:val="21"/>
                <w:szCs w:val="21"/>
              </w:rPr>
            </w:pPr>
            <w:bookmarkStart w:id="10" w:name="_Toc24096"/>
            <w:r>
              <w:rPr>
                <w:rFonts w:hint="eastAsia" w:ascii="宋体" w:hAnsi="宋体" w:eastAsia="宋体" w:cs="宋体"/>
                <w:sz w:val="21"/>
                <w:szCs w:val="21"/>
              </w:rPr>
              <w:t>备注</w:t>
            </w:r>
            <w:bookmarkEnd w:id="10"/>
          </w:p>
        </w:tc>
      </w:tr>
      <w:tr w14:paraId="4479E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A02DADF">
            <w:pPr>
              <w:spacing w:before="156" w:beforeLines="50" w:line="360" w:lineRule="auto"/>
              <w:jc w:val="center"/>
              <w:rPr>
                <w:rFonts w:ascii="宋体" w:hAnsi="宋体" w:eastAsia="宋体" w:cs="宋体"/>
                <w:szCs w:val="21"/>
              </w:rPr>
            </w:pPr>
          </w:p>
        </w:tc>
        <w:tc>
          <w:tcPr>
            <w:tcW w:w="960" w:type="dxa"/>
          </w:tcPr>
          <w:p w14:paraId="075A0C31">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4161317D">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F73B0A4">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6DF53DD6">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D9B8D5A">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2259C939">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5366AB5D">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0B63482">
            <w:pPr>
              <w:spacing w:before="156" w:beforeLines="50" w:line="360" w:lineRule="auto"/>
              <w:jc w:val="center"/>
              <w:rPr>
                <w:rFonts w:ascii="宋体" w:hAnsi="宋体" w:eastAsia="宋体" w:cs="宋体"/>
                <w:szCs w:val="21"/>
              </w:rPr>
            </w:pPr>
          </w:p>
        </w:tc>
      </w:tr>
      <w:tr w14:paraId="43307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CF9F0E7">
            <w:pPr>
              <w:spacing w:before="156" w:beforeLines="50" w:line="360" w:lineRule="auto"/>
              <w:jc w:val="center"/>
              <w:rPr>
                <w:rFonts w:ascii="宋体" w:hAnsi="宋体" w:eastAsia="宋体" w:cs="宋体"/>
                <w:szCs w:val="21"/>
              </w:rPr>
            </w:pPr>
          </w:p>
        </w:tc>
        <w:tc>
          <w:tcPr>
            <w:tcW w:w="960" w:type="dxa"/>
          </w:tcPr>
          <w:p w14:paraId="54F1C73D">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6EE2D1A5">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1A63CB5A">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232DCD98">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4690B13">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65E7127">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0CA70D0A">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38FFB6D">
            <w:pPr>
              <w:spacing w:before="156" w:beforeLines="50" w:line="360" w:lineRule="auto"/>
              <w:jc w:val="center"/>
              <w:rPr>
                <w:rFonts w:ascii="宋体" w:hAnsi="宋体" w:eastAsia="宋体" w:cs="宋体"/>
                <w:szCs w:val="21"/>
              </w:rPr>
            </w:pPr>
          </w:p>
        </w:tc>
      </w:tr>
      <w:tr w14:paraId="6D1C2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1506D7E">
            <w:pPr>
              <w:spacing w:before="156" w:beforeLines="50" w:line="360" w:lineRule="auto"/>
              <w:jc w:val="center"/>
              <w:rPr>
                <w:rFonts w:ascii="宋体" w:hAnsi="宋体" w:eastAsia="宋体" w:cs="宋体"/>
                <w:szCs w:val="21"/>
              </w:rPr>
            </w:pPr>
          </w:p>
        </w:tc>
        <w:tc>
          <w:tcPr>
            <w:tcW w:w="960" w:type="dxa"/>
          </w:tcPr>
          <w:p w14:paraId="787C938F">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03A7018E">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ECCDFB7">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713B42F0">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7402D4F6">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95EF674">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767D6BE3">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1463E4BC">
            <w:pPr>
              <w:spacing w:before="156" w:beforeLines="50" w:line="360" w:lineRule="auto"/>
              <w:jc w:val="center"/>
              <w:rPr>
                <w:rFonts w:ascii="宋体" w:hAnsi="宋体" w:eastAsia="宋体" w:cs="宋体"/>
                <w:szCs w:val="21"/>
              </w:rPr>
            </w:pPr>
          </w:p>
        </w:tc>
      </w:tr>
    </w:tbl>
    <w:p w14:paraId="12278EC5">
      <w:pPr>
        <w:pStyle w:val="12"/>
        <w:spacing w:before="156" w:beforeLines="50" w:line="360" w:lineRule="auto"/>
        <w:ind w:firstLine="452" w:firstLineChars="150"/>
        <w:outlineLvl w:val="1"/>
        <w:rPr>
          <w:rFonts w:ascii="宋体" w:hAnsi="宋体"/>
          <w:b/>
          <w:sz w:val="30"/>
          <w:szCs w:val="30"/>
        </w:rPr>
      </w:pPr>
      <w:r>
        <w:rPr>
          <w:rFonts w:hint="eastAsia" w:ascii="宋体" w:hAnsi="宋体"/>
          <w:b/>
          <w:sz w:val="30"/>
          <w:szCs w:val="30"/>
        </w:rPr>
        <w:t>第四条 合同价款</w:t>
      </w:r>
      <w:bookmarkEnd w:id="2"/>
      <w:bookmarkEnd w:id="3"/>
    </w:p>
    <w:p w14:paraId="1B56267A">
      <w:pPr>
        <w:pStyle w:val="12"/>
        <w:spacing w:line="360" w:lineRule="auto"/>
        <w:ind w:firstLine="525" w:firstLineChars="250"/>
        <w:rPr>
          <w:rFonts w:ascii="宋体" w:hAnsi="宋体"/>
          <w:sz w:val="21"/>
          <w:szCs w:val="21"/>
        </w:rPr>
      </w:pPr>
      <w:bookmarkStart w:id="11" w:name="_Toc30597"/>
      <w:bookmarkStart w:id="12" w:name="_Toc12510"/>
      <w:r>
        <w:rPr>
          <w:rFonts w:hint="eastAsia" w:ascii="宋体" w:hAnsi="宋体"/>
          <w:sz w:val="21"/>
          <w:szCs w:val="21"/>
        </w:rPr>
        <w:t>1.合同总价：人民币（大写）</w:t>
      </w:r>
      <w:r>
        <w:rPr>
          <w:rFonts w:hint="eastAsia" w:ascii="宋体" w:hAnsi="宋体"/>
          <w:sz w:val="21"/>
          <w:szCs w:val="21"/>
          <w:u w:val="single"/>
        </w:rPr>
        <w:t xml:space="preserve">                  </w:t>
      </w:r>
      <w:r>
        <w:rPr>
          <w:rFonts w:hint="eastAsia" w:ascii="宋体" w:hAnsi="宋体"/>
          <w:sz w:val="21"/>
          <w:szCs w:val="21"/>
        </w:rPr>
        <w:t>元，（￥</w:t>
      </w:r>
      <w:r>
        <w:rPr>
          <w:rFonts w:hint="eastAsia" w:ascii="宋体" w:hAnsi="宋体"/>
          <w:sz w:val="21"/>
          <w:szCs w:val="21"/>
          <w:u w:val="single"/>
        </w:rPr>
        <w:t xml:space="preserve">            </w:t>
      </w:r>
      <w:r>
        <w:rPr>
          <w:rFonts w:hint="eastAsia" w:ascii="宋体" w:hAnsi="宋体"/>
          <w:sz w:val="21"/>
          <w:szCs w:val="21"/>
        </w:rPr>
        <w:t>）。</w:t>
      </w:r>
      <w:bookmarkEnd w:id="11"/>
      <w:bookmarkEnd w:id="12"/>
    </w:p>
    <w:p w14:paraId="19C9BA49">
      <w:pPr>
        <w:pStyle w:val="12"/>
        <w:spacing w:line="360" w:lineRule="auto"/>
        <w:ind w:firstLine="525" w:firstLineChars="250"/>
        <w:rPr>
          <w:rFonts w:ascii="宋体" w:hAnsi="宋体"/>
          <w:sz w:val="21"/>
          <w:szCs w:val="21"/>
        </w:rPr>
      </w:pPr>
      <w:bookmarkStart w:id="13" w:name="_Toc6195"/>
      <w:bookmarkStart w:id="14" w:name="_Toc22145"/>
      <w:r>
        <w:rPr>
          <w:rFonts w:hint="eastAsia" w:ascii="宋体" w:hAnsi="宋体"/>
          <w:sz w:val="21"/>
          <w:szCs w:val="21"/>
        </w:rPr>
        <w:t>2.本合同总价</w:t>
      </w:r>
      <w:bookmarkEnd w:id="13"/>
      <w:bookmarkEnd w:id="14"/>
      <w:r>
        <w:rPr>
          <w:rFonts w:hint="eastAsia" w:ascii="宋体" w:hAnsi="宋体"/>
          <w:sz w:val="21"/>
          <w:szCs w:val="21"/>
          <w:lang w:val="en-US" w:eastAsia="zh-CN"/>
        </w:rPr>
        <w:t>包含车辆价款、车辆购置税、车辆保险（交强险、第三者责任险(≥200万)、车损险、驾乘险等）、车辆挂牌及13%增值税、材料、运输、维修安装、检测、调试、安全措施、技术服务、利润等与本项目有关的所有费用；</w:t>
      </w:r>
    </w:p>
    <w:p w14:paraId="6328C8B7">
      <w:pPr>
        <w:pStyle w:val="12"/>
        <w:spacing w:line="360" w:lineRule="auto"/>
        <w:ind w:firstLine="525" w:firstLineChars="250"/>
        <w:rPr>
          <w:rFonts w:ascii="宋体" w:hAnsi="宋体"/>
          <w:sz w:val="21"/>
          <w:szCs w:val="21"/>
        </w:rPr>
      </w:pPr>
      <w:bookmarkStart w:id="15" w:name="_Toc5874"/>
      <w:bookmarkStart w:id="16" w:name="_Toc27556"/>
      <w:r>
        <w:rPr>
          <w:rFonts w:hint="eastAsia" w:ascii="宋体" w:hAnsi="宋体"/>
          <w:sz w:val="21"/>
          <w:szCs w:val="21"/>
        </w:rPr>
        <w:t>3.本合同总价还包含乙方应当提供的伴随服务和售后服务费用。</w:t>
      </w:r>
      <w:bookmarkEnd w:id="15"/>
      <w:bookmarkEnd w:id="16"/>
    </w:p>
    <w:p w14:paraId="359EBAD6">
      <w:pPr>
        <w:pStyle w:val="12"/>
        <w:spacing w:line="360" w:lineRule="auto"/>
        <w:ind w:firstLine="525" w:firstLineChars="250"/>
        <w:rPr>
          <w:rFonts w:ascii="宋体" w:hAnsi="宋体"/>
          <w:sz w:val="21"/>
          <w:szCs w:val="21"/>
        </w:rPr>
      </w:pPr>
      <w:bookmarkStart w:id="17" w:name="_Toc26798"/>
      <w:bookmarkStart w:id="18" w:name="_Toc23843"/>
      <w:r>
        <w:rPr>
          <w:rFonts w:hint="eastAsia" w:ascii="宋体" w:hAnsi="宋体"/>
          <w:sz w:val="21"/>
          <w:szCs w:val="21"/>
        </w:rPr>
        <w:t>4.本合同执行期间甲方无须另向乙方支付本合同规定之外的其他任何费用。</w:t>
      </w:r>
      <w:bookmarkEnd w:id="17"/>
      <w:bookmarkEnd w:id="18"/>
    </w:p>
    <w:p w14:paraId="2B27685D">
      <w:pPr>
        <w:pStyle w:val="12"/>
        <w:spacing w:before="156" w:beforeLines="50" w:line="360" w:lineRule="auto"/>
        <w:ind w:firstLine="452" w:firstLineChars="150"/>
        <w:outlineLvl w:val="1"/>
        <w:rPr>
          <w:rFonts w:ascii="宋体" w:hAnsi="宋体"/>
          <w:b/>
          <w:sz w:val="30"/>
          <w:szCs w:val="30"/>
        </w:rPr>
      </w:pPr>
      <w:bookmarkStart w:id="19" w:name="_Toc4203"/>
      <w:bookmarkStart w:id="20" w:name="_Toc21749"/>
      <w:r>
        <w:rPr>
          <w:rFonts w:hint="eastAsia" w:ascii="宋体" w:hAnsi="宋体"/>
          <w:b/>
          <w:sz w:val="30"/>
          <w:szCs w:val="30"/>
        </w:rPr>
        <w:t>第五条 货款支付</w:t>
      </w:r>
      <w:bookmarkEnd w:id="19"/>
      <w:bookmarkEnd w:id="20"/>
    </w:p>
    <w:p w14:paraId="00AC8DF4">
      <w:pPr>
        <w:pStyle w:val="12"/>
        <w:spacing w:line="360" w:lineRule="auto"/>
        <w:ind w:firstLine="527" w:firstLineChars="250"/>
        <w:rPr>
          <w:rFonts w:hint="default" w:ascii="宋体" w:hAnsi="宋体" w:eastAsiaTheme="minorEastAsia"/>
          <w:b/>
          <w:bCs/>
          <w:sz w:val="21"/>
          <w:szCs w:val="21"/>
          <w:u w:val="single"/>
          <w:lang w:val="en-US" w:eastAsia="zh-CN"/>
        </w:rPr>
      </w:pPr>
      <w:r>
        <w:rPr>
          <w:rFonts w:hint="eastAsia" w:ascii="宋体" w:hAnsi="宋体"/>
          <w:b/>
          <w:bCs/>
          <w:sz w:val="21"/>
          <w:szCs w:val="21"/>
        </w:rPr>
        <w:t>1.付款条件说明：</w:t>
      </w:r>
      <w:r>
        <w:rPr>
          <w:rFonts w:hint="eastAsia" w:ascii="宋体" w:hAnsi="宋体"/>
          <w:b/>
          <w:bCs/>
          <w:sz w:val="21"/>
          <w:szCs w:val="21"/>
          <w:u w:val="single"/>
        </w:rPr>
        <w:t xml:space="preserve"> </w:t>
      </w:r>
      <w:r>
        <w:rPr>
          <w:rFonts w:hint="eastAsia" w:ascii="宋体" w:hAnsi="宋体"/>
          <w:b/>
          <w:bCs/>
          <w:sz w:val="21"/>
          <w:szCs w:val="21"/>
          <w:u w:val="single"/>
          <w:lang w:val="en-US" w:eastAsia="zh-CN"/>
        </w:rPr>
        <w:t xml:space="preserve">                                     </w:t>
      </w:r>
    </w:p>
    <w:p w14:paraId="68984C90">
      <w:pPr>
        <w:pStyle w:val="12"/>
        <w:spacing w:line="360" w:lineRule="auto"/>
        <w:ind w:firstLine="525" w:firstLineChars="250"/>
        <w:rPr>
          <w:rFonts w:ascii="宋体" w:hAnsi="宋体"/>
          <w:sz w:val="21"/>
          <w:szCs w:val="21"/>
        </w:rPr>
      </w:pPr>
      <w:r>
        <w:rPr>
          <w:rFonts w:hint="eastAsia" w:ascii="宋体" w:hAnsi="宋体"/>
          <w:sz w:val="21"/>
          <w:szCs w:val="21"/>
        </w:rPr>
        <w:t>2.乙方须向甲方出</w:t>
      </w:r>
      <w:r>
        <w:rPr>
          <w:rFonts w:hint="eastAsia" w:ascii="宋体" w:hAnsi="宋体" w:cs="宋体"/>
          <w:sz w:val="21"/>
          <w:szCs w:val="21"/>
        </w:rPr>
        <w:t>具</w:t>
      </w:r>
      <w:r>
        <w:rPr>
          <w:rFonts w:hint="eastAsia" w:ascii="宋体" w:hAnsi="宋体" w:cs="宋体"/>
          <w:sz w:val="21"/>
          <w:szCs w:val="21"/>
          <w:lang w:val="en-US" w:eastAsia="zh-CN"/>
        </w:rPr>
        <w:t>与合同总价款等额的正式增值税发票</w:t>
      </w:r>
      <w:r>
        <w:rPr>
          <w:rFonts w:hint="eastAsia" w:ascii="宋体" w:hAnsi="宋体" w:cs="宋体"/>
          <w:sz w:val="21"/>
          <w:szCs w:val="21"/>
        </w:rPr>
        <w:t>，甲方进</w:t>
      </w:r>
      <w:r>
        <w:rPr>
          <w:rFonts w:hint="eastAsia" w:ascii="宋体" w:hAnsi="宋体"/>
          <w:sz w:val="21"/>
          <w:szCs w:val="21"/>
        </w:rPr>
        <w:t>行支付结算。</w:t>
      </w:r>
    </w:p>
    <w:p w14:paraId="6058A1F4">
      <w:pPr>
        <w:pStyle w:val="12"/>
        <w:spacing w:line="360" w:lineRule="auto"/>
        <w:ind w:firstLine="525" w:firstLineChars="250"/>
        <w:rPr>
          <w:rFonts w:ascii="宋体" w:hAnsi="宋体"/>
          <w:sz w:val="21"/>
          <w:szCs w:val="21"/>
        </w:rPr>
      </w:pPr>
      <w:r>
        <w:rPr>
          <w:rFonts w:hint="eastAsia" w:ascii="宋体" w:hAnsi="宋体"/>
          <w:sz w:val="21"/>
          <w:szCs w:val="21"/>
        </w:rPr>
        <w:t>3.结算方式：银行转账。</w:t>
      </w:r>
    </w:p>
    <w:p w14:paraId="171020EF">
      <w:pPr>
        <w:pStyle w:val="12"/>
        <w:spacing w:before="156" w:beforeLines="50" w:after="156" w:afterLines="50" w:line="360" w:lineRule="auto"/>
        <w:ind w:firstLine="500" w:firstLineChars="166"/>
        <w:outlineLvl w:val="1"/>
        <w:rPr>
          <w:rFonts w:ascii="宋体" w:hAnsi="宋体"/>
          <w:b/>
          <w:sz w:val="30"/>
          <w:szCs w:val="30"/>
        </w:rPr>
      </w:pPr>
      <w:bookmarkStart w:id="21" w:name="_Toc11136"/>
      <w:bookmarkStart w:id="22" w:name="_Toc28117"/>
      <w:r>
        <w:rPr>
          <w:rFonts w:hint="eastAsia" w:ascii="宋体" w:hAnsi="宋体"/>
          <w:b/>
          <w:sz w:val="30"/>
          <w:szCs w:val="30"/>
        </w:rPr>
        <w:t>第六条 交货时间与地点</w:t>
      </w:r>
      <w:bookmarkEnd w:id="21"/>
      <w:bookmarkEnd w:id="22"/>
    </w:p>
    <w:p w14:paraId="5B4ECB0A">
      <w:pPr>
        <w:pStyle w:val="12"/>
        <w:spacing w:line="360" w:lineRule="auto"/>
        <w:ind w:firstLine="525" w:firstLineChars="250"/>
        <w:rPr>
          <w:rFonts w:ascii="宋体" w:hAnsi="宋体"/>
          <w:sz w:val="21"/>
          <w:szCs w:val="21"/>
        </w:rPr>
      </w:pPr>
      <w:r>
        <w:rPr>
          <w:rFonts w:hint="eastAsia" w:ascii="宋体" w:hAnsi="宋体"/>
          <w:sz w:val="21"/>
          <w:szCs w:val="21"/>
        </w:rPr>
        <w:t>1.交货时间：</w:t>
      </w:r>
      <w:r>
        <w:rPr>
          <w:rFonts w:hint="eastAsia" w:ascii="宋体" w:hAnsi="宋体"/>
          <w:sz w:val="21"/>
          <w:szCs w:val="21"/>
          <w:u w:val="single"/>
        </w:rPr>
        <w:t xml:space="preserve">                </w:t>
      </w:r>
      <w:r>
        <w:rPr>
          <w:rFonts w:hint="eastAsia" w:ascii="宋体" w:hAnsi="宋体"/>
          <w:sz w:val="21"/>
          <w:szCs w:val="21"/>
          <w:lang w:val="zh-CN"/>
        </w:rPr>
        <w:t>。</w:t>
      </w:r>
    </w:p>
    <w:p w14:paraId="5659A2A7">
      <w:pPr>
        <w:pStyle w:val="12"/>
        <w:spacing w:line="360" w:lineRule="auto"/>
        <w:ind w:firstLine="525" w:firstLineChars="250"/>
        <w:rPr>
          <w:rFonts w:ascii="宋体" w:hAnsi="宋体"/>
          <w:sz w:val="21"/>
          <w:szCs w:val="21"/>
        </w:rPr>
      </w:pPr>
      <w:r>
        <w:rPr>
          <w:rFonts w:hint="eastAsia" w:ascii="宋体" w:hAnsi="宋体"/>
          <w:sz w:val="21"/>
          <w:szCs w:val="21"/>
        </w:rPr>
        <w:t>2.交货地点和方式：</w:t>
      </w:r>
      <w:r>
        <w:rPr>
          <w:rFonts w:hint="eastAsia" w:ascii="宋体" w:hAnsi="宋体" w:cs="宋体"/>
          <w:sz w:val="21"/>
          <w:szCs w:val="21"/>
        </w:rPr>
        <w:t>采购人指定地点</w:t>
      </w:r>
      <w:r>
        <w:rPr>
          <w:rFonts w:hint="eastAsia" w:ascii="宋体" w:hAnsi="宋体" w:cs="宋体"/>
          <w:sz w:val="21"/>
          <w:szCs w:val="21"/>
          <w:lang w:eastAsia="zh-CN"/>
        </w:rPr>
        <w:t>，</w:t>
      </w:r>
      <w:r>
        <w:rPr>
          <w:rFonts w:hint="eastAsia" w:ascii="宋体" w:hAnsi="宋体" w:cs="宋体"/>
          <w:sz w:val="21"/>
          <w:szCs w:val="21"/>
        </w:rPr>
        <w:t>供应商</w:t>
      </w:r>
      <w:r>
        <w:rPr>
          <w:rFonts w:hint="eastAsia" w:ascii="宋体" w:hAnsi="宋体"/>
          <w:sz w:val="21"/>
          <w:szCs w:val="21"/>
        </w:rPr>
        <w:t>负责运送到采购人指定地点。</w:t>
      </w:r>
    </w:p>
    <w:p w14:paraId="4F7BF247">
      <w:pPr>
        <w:pStyle w:val="12"/>
        <w:spacing w:before="156" w:beforeLines="50" w:after="156" w:afterLines="50" w:line="360" w:lineRule="auto"/>
        <w:ind w:firstLine="500" w:firstLineChars="166"/>
        <w:outlineLvl w:val="1"/>
        <w:rPr>
          <w:rFonts w:ascii="宋体" w:hAnsi="宋体"/>
          <w:b/>
          <w:sz w:val="30"/>
          <w:szCs w:val="30"/>
        </w:rPr>
      </w:pPr>
      <w:bookmarkStart w:id="23" w:name="_Toc22096"/>
      <w:bookmarkStart w:id="24" w:name="_Toc1061"/>
      <w:r>
        <w:rPr>
          <w:rFonts w:hint="eastAsia" w:ascii="宋体" w:hAnsi="宋体"/>
          <w:b/>
          <w:sz w:val="30"/>
          <w:szCs w:val="30"/>
        </w:rPr>
        <w:t>第七条 质量保证</w:t>
      </w:r>
      <w:bookmarkEnd w:id="23"/>
      <w:bookmarkEnd w:id="24"/>
    </w:p>
    <w:p w14:paraId="59E5DF1A">
      <w:pPr>
        <w:pStyle w:val="12"/>
        <w:spacing w:line="360" w:lineRule="auto"/>
        <w:ind w:firstLine="525" w:firstLineChars="250"/>
        <w:rPr>
          <w:rFonts w:hint="eastAsia" w:ascii="宋体" w:hAnsi="宋体"/>
          <w:sz w:val="21"/>
          <w:szCs w:val="21"/>
          <w:lang w:val="en-US" w:eastAsia="zh-CN"/>
        </w:rPr>
      </w:pPr>
      <w:bookmarkStart w:id="25" w:name="_Toc20794"/>
      <w:bookmarkStart w:id="26" w:name="_Toc28731"/>
      <w:r>
        <w:rPr>
          <w:rFonts w:hint="eastAsia" w:ascii="宋体" w:hAnsi="宋体"/>
          <w:sz w:val="21"/>
          <w:szCs w:val="21"/>
          <w:lang w:val="en-US" w:eastAsia="zh-CN"/>
        </w:rPr>
        <w:t>1、质量要求：供应商所提供的产品性能及质量应符合现行国家、行业标准，达到合格产品的要求。</w:t>
      </w:r>
    </w:p>
    <w:p w14:paraId="67DBAEA0">
      <w:pPr>
        <w:pStyle w:val="12"/>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产品必须为符合国家质量标准的原厂、全新、正品产品，产品须为国标产品，须提供工信部公告，供应商应在产品使用期限内，承担所提供的产品因自身质量原因产生的责任；</w:t>
      </w:r>
    </w:p>
    <w:p w14:paraId="3DEE4A75">
      <w:pPr>
        <w:pStyle w:val="12"/>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2、质保期：</w:t>
      </w:r>
      <w:r>
        <w:rPr>
          <w:rFonts w:hint="eastAsia" w:ascii="宋体" w:hAnsi="宋体"/>
          <w:sz w:val="21"/>
          <w:szCs w:val="21"/>
          <w:u w:val="single"/>
          <w:lang w:val="en-US" w:eastAsia="zh-CN"/>
        </w:rPr>
        <w:t xml:space="preserve">                                       </w:t>
      </w:r>
      <w:r>
        <w:rPr>
          <w:rFonts w:hint="eastAsia" w:ascii="宋体" w:hAnsi="宋体"/>
          <w:sz w:val="21"/>
          <w:szCs w:val="21"/>
          <w:lang w:val="en-US" w:eastAsia="zh-CN"/>
        </w:rPr>
        <w:t>；</w:t>
      </w:r>
    </w:p>
    <w:p w14:paraId="7A09D641">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3、售后服务响应时间:对采购人反映的任何问题2小时内响应，24小时内解决问题(重大故障 72 小时内解决问题)；</w:t>
      </w:r>
    </w:p>
    <w:p w14:paraId="51849FD2">
      <w:pPr>
        <w:pStyle w:val="12"/>
        <w:spacing w:line="360" w:lineRule="auto"/>
        <w:ind w:firstLine="602"/>
        <w:rPr>
          <w:rFonts w:ascii="宋体" w:hAnsi="宋体"/>
          <w:sz w:val="30"/>
          <w:szCs w:val="30"/>
        </w:rPr>
      </w:pPr>
      <w:r>
        <w:rPr>
          <w:rFonts w:hint="eastAsia" w:ascii="宋体" w:hAnsi="宋体"/>
          <w:b/>
          <w:sz w:val="30"/>
          <w:szCs w:val="30"/>
        </w:rPr>
        <w:t xml:space="preserve">第八条 </w:t>
      </w:r>
      <w:bookmarkEnd w:id="25"/>
      <w:bookmarkEnd w:id="26"/>
      <w:bookmarkStart w:id="27" w:name="_Toc31343"/>
      <w:bookmarkStart w:id="28" w:name="_Toc19836"/>
      <w:r>
        <w:rPr>
          <w:rFonts w:hint="eastAsia" w:ascii="宋体" w:hAnsi="宋体"/>
          <w:b/>
          <w:sz w:val="30"/>
          <w:szCs w:val="30"/>
        </w:rPr>
        <w:t xml:space="preserve"> 验收</w:t>
      </w:r>
      <w:bookmarkEnd w:id="27"/>
      <w:bookmarkEnd w:id="28"/>
    </w:p>
    <w:p w14:paraId="4BD67B21">
      <w:pPr>
        <w:pStyle w:val="12"/>
        <w:spacing w:line="360" w:lineRule="auto"/>
        <w:ind w:firstLine="525" w:firstLineChars="250"/>
        <w:rPr>
          <w:rFonts w:ascii="宋体" w:hAnsi="宋体"/>
          <w:sz w:val="21"/>
          <w:szCs w:val="21"/>
        </w:rPr>
      </w:pPr>
      <w:bookmarkStart w:id="29" w:name="_Toc4278"/>
      <w:bookmarkStart w:id="30" w:name="_Toc5101"/>
      <w:r>
        <w:rPr>
          <w:rFonts w:hint="eastAsia" w:ascii="宋体" w:hAnsi="宋体"/>
          <w:sz w:val="21"/>
          <w:szCs w:val="21"/>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w:t>
      </w:r>
    </w:p>
    <w:p w14:paraId="118C906F">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所验产品的指标、性能参数最终验收达不到竞争性谈判文件要求和谈判响应文件承诺的，或在使用中发现采购人不能容忍的缺陷等，将视为产品验收不合格，供应商应在采购人要求的时间内无条件免费更换或退货。</w:t>
      </w:r>
    </w:p>
    <w:p w14:paraId="51C6E6A1">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3</w:t>
      </w:r>
      <w:r>
        <w:rPr>
          <w:rFonts w:hint="eastAsia" w:ascii="宋体" w:hAnsi="宋体"/>
          <w:sz w:val="21"/>
          <w:szCs w:val="21"/>
        </w:rPr>
        <w:t>、若发现供应商有弄虚作假的，在投标阶段故意或随意夸大产品技术性能，供应商应无条件退货，本合同解除，供应商赔偿采购人相应的损失。</w:t>
      </w:r>
    </w:p>
    <w:p w14:paraId="69FF2EAA">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4</w:t>
      </w:r>
      <w:r>
        <w:rPr>
          <w:rFonts w:hint="eastAsia" w:ascii="宋体" w:hAnsi="宋体"/>
          <w:sz w:val="21"/>
          <w:szCs w:val="21"/>
        </w:rPr>
        <w:t>、验收标准：按竞争性谈判文件、谈判响应文件及澄清函等技术指标进行验收。各项指标均应符合验收标准及要求。</w:t>
      </w:r>
    </w:p>
    <w:p w14:paraId="0A0F7997">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5</w:t>
      </w:r>
      <w:r>
        <w:rPr>
          <w:rFonts w:hint="eastAsia" w:ascii="宋体" w:hAnsi="宋体"/>
          <w:sz w:val="21"/>
          <w:szCs w:val="21"/>
        </w:rPr>
        <w:t>、验收合格后，填写验收单，双方签字生效。</w:t>
      </w:r>
    </w:p>
    <w:p w14:paraId="03B2533A">
      <w:pPr>
        <w:pStyle w:val="12"/>
        <w:spacing w:line="360" w:lineRule="auto"/>
        <w:ind w:firstLine="525" w:firstLineChars="250"/>
        <w:rPr>
          <w:rFonts w:ascii="宋体" w:hAnsi="宋体"/>
          <w:sz w:val="21"/>
          <w:szCs w:val="21"/>
        </w:rPr>
      </w:pPr>
      <w:r>
        <w:rPr>
          <w:rFonts w:hint="eastAsia" w:ascii="宋体" w:hAnsi="宋体"/>
          <w:sz w:val="21"/>
          <w:szCs w:val="21"/>
          <w:lang w:val="en-US" w:eastAsia="zh-CN"/>
        </w:rPr>
        <w:t>6</w:t>
      </w:r>
      <w:r>
        <w:rPr>
          <w:rFonts w:hint="eastAsia" w:ascii="宋体" w:hAnsi="宋体"/>
          <w:sz w:val="21"/>
          <w:szCs w:val="21"/>
        </w:rPr>
        <w:t>、验收依据：</w:t>
      </w:r>
    </w:p>
    <w:p w14:paraId="10584F37">
      <w:pPr>
        <w:pStyle w:val="12"/>
        <w:spacing w:line="360" w:lineRule="auto"/>
        <w:ind w:firstLine="525" w:firstLineChars="250"/>
        <w:rPr>
          <w:rFonts w:ascii="宋体" w:hAnsi="宋体"/>
          <w:sz w:val="21"/>
          <w:szCs w:val="21"/>
        </w:rPr>
      </w:pPr>
      <w:r>
        <w:rPr>
          <w:rFonts w:hint="eastAsia" w:ascii="宋体" w:hAnsi="宋体"/>
          <w:sz w:val="21"/>
          <w:szCs w:val="21"/>
        </w:rPr>
        <w:t>a)合同文本；</w:t>
      </w:r>
    </w:p>
    <w:p w14:paraId="141090DC">
      <w:pPr>
        <w:pStyle w:val="12"/>
        <w:spacing w:line="360" w:lineRule="auto"/>
        <w:ind w:firstLine="525" w:firstLineChars="250"/>
        <w:rPr>
          <w:rFonts w:ascii="宋体" w:hAnsi="宋体"/>
          <w:sz w:val="21"/>
          <w:szCs w:val="21"/>
        </w:rPr>
      </w:pPr>
      <w:r>
        <w:rPr>
          <w:rFonts w:hint="eastAsia" w:ascii="宋体" w:hAnsi="宋体"/>
          <w:sz w:val="21"/>
          <w:szCs w:val="21"/>
        </w:rPr>
        <w:t>b)谈判响应文件及澄清函、竞争性谈判文件；</w:t>
      </w:r>
    </w:p>
    <w:p w14:paraId="6DB71197">
      <w:pPr>
        <w:spacing w:line="360" w:lineRule="auto"/>
        <w:ind w:firstLine="420" w:firstLineChars="200"/>
        <w:rPr>
          <w:rFonts w:hint="eastAsia" w:ascii="宋体" w:hAnsi="宋体" w:cs="宋体" w:eastAsiaTheme="minorEastAsia"/>
          <w:kern w:val="2"/>
          <w:sz w:val="21"/>
          <w:szCs w:val="21"/>
          <w:lang w:val="en-US" w:eastAsia="zh-CN" w:bidi="ar-SA"/>
        </w:rPr>
      </w:pPr>
      <w:r>
        <w:rPr>
          <w:rFonts w:hint="eastAsia" w:ascii="宋体" w:hAnsi="宋体" w:cs="宋体" w:eastAsiaTheme="minorEastAsia"/>
          <w:kern w:val="2"/>
          <w:sz w:val="21"/>
          <w:szCs w:val="21"/>
          <w:lang w:val="en-US" w:eastAsia="zh-CN" w:bidi="ar-SA"/>
        </w:rPr>
        <w:t>c)国家和行业制定的相应的标准和规范；</w:t>
      </w:r>
    </w:p>
    <w:p w14:paraId="237EC357">
      <w:pPr>
        <w:spacing w:line="360" w:lineRule="auto"/>
        <w:ind w:firstLine="420" w:firstLineChars="200"/>
        <w:rPr>
          <w:rFonts w:hAnsi="宋体" w:cs="宋体"/>
        </w:rPr>
      </w:pPr>
      <w:r>
        <w:rPr>
          <w:rFonts w:hint="eastAsia" w:ascii="宋体" w:hAnsi="宋体" w:cs="宋体" w:eastAsiaTheme="minorEastAsia"/>
          <w:kern w:val="2"/>
          <w:sz w:val="21"/>
          <w:szCs w:val="21"/>
          <w:lang w:val="en-US" w:eastAsia="zh-CN" w:bidi="ar-SA"/>
        </w:rPr>
        <w:t>d)验收清单（注明各部件的品名、数量、规格型号和原产地或生产厂家）。</w:t>
      </w:r>
    </w:p>
    <w:p w14:paraId="65B53718">
      <w:pPr>
        <w:pStyle w:val="12"/>
        <w:spacing w:before="156" w:beforeLines="50" w:after="156" w:afterLines="50" w:line="360" w:lineRule="auto"/>
        <w:ind w:firstLine="500" w:firstLineChars="166"/>
        <w:outlineLvl w:val="1"/>
        <w:rPr>
          <w:rFonts w:ascii="宋体" w:hAnsi="宋体"/>
          <w:b/>
          <w:sz w:val="30"/>
          <w:szCs w:val="30"/>
        </w:rPr>
      </w:pPr>
      <w:r>
        <w:rPr>
          <w:rFonts w:hint="eastAsia" w:ascii="宋体" w:hAnsi="宋体"/>
          <w:b/>
          <w:sz w:val="30"/>
          <w:szCs w:val="30"/>
        </w:rPr>
        <w:t xml:space="preserve">第九条 </w:t>
      </w:r>
      <w:bookmarkEnd w:id="29"/>
      <w:bookmarkEnd w:id="30"/>
      <w:r>
        <w:rPr>
          <w:rFonts w:hint="eastAsia" w:ascii="宋体" w:hAnsi="宋体"/>
          <w:b/>
          <w:sz w:val="30"/>
          <w:szCs w:val="30"/>
        </w:rPr>
        <w:t>技术支持</w:t>
      </w:r>
    </w:p>
    <w:p w14:paraId="1102514D">
      <w:pPr>
        <w:pStyle w:val="12"/>
        <w:spacing w:line="360" w:lineRule="auto"/>
        <w:ind w:firstLine="525" w:firstLineChars="250"/>
        <w:rPr>
          <w:rFonts w:ascii="宋体" w:hAnsi="宋体"/>
          <w:sz w:val="21"/>
          <w:szCs w:val="21"/>
        </w:rPr>
      </w:pPr>
      <w:bookmarkStart w:id="31" w:name="_Toc10753"/>
      <w:bookmarkStart w:id="32" w:name="_Toc24432"/>
      <w:r>
        <w:rPr>
          <w:rFonts w:hint="eastAsia" w:ascii="宋体" w:hAnsi="宋体"/>
          <w:sz w:val="21"/>
          <w:szCs w:val="21"/>
        </w:rPr>
        <w:t>1、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A5A589C">
      <w:pPr>
        <w:pStyle w:val="12"/>
        <w:spacing w:line="360" w:lineRule="auto"/>
        <w:ind w:firstLine="525" w:firstLineChars="250"/>
        <w:rPr>
          <w:rFonts w:ascii="宋体" w:hAnsi="宋体"/>
          <w:sz w:val="21"/>
          <w:szCs w:val="21"/>
        </w:rPr>
      </w:pPr>
      <w:r>
        <w:rPr>
          <w:rFonts w:hint="eastAsia" w:ascii="宋体" w:hAnsi="宋体"/>
          <w:sz w:val="21"/>
          <w:szCs w:val="21"/>
        </w:rPr>
        <w:t>2、供应商在项目实施过程中，质量保障人员、资源不足或者执行不力，给项目质量带来的风险超出采购人认定的允许范围时，采购人可终止本项目的合作并进行索赔。</w:t>
      </w:r>
    </w:p>
    <w:p w14:paraId="12D2B4B5">
      <w:pPr>
        <w:spacing w:line="360" w:lineRule="auto"/>
        <w:ind w:firstLine="602" w:firstLineChars="200"/>
        <w:rPr>
          <w:rFonts w:ascii="宋体" w:hAnsi="宋体" w:eastAsia="宋体" w:cs="宋体"/>
          <w:b/>
          <w:sz w:val="30"/>
          <w:szCs w:val="30"/>
        </w:rPr>
      </w:pPr>
      <w:r>
        <w:rPr>
          <w:rFonts w:hint="eastAsia" w:ascii="宋体" w:hAnsi="宋体" w:eastAsia="宋体" w:cs="宋体"/>
          <w:b/>
          <w:sz w:val="30"/>
          <w:szCs w:val="30"/>
        </w:rPr>
        <w:t>第</w:t>
      </w:r>
      <w:r>
        <w:rPr>
          <w:rFonts w:hint="eastAsia" w:ascii="宋体" w:hAnsi="宋体" w:cs="宋体"/>
          <w:b/>
          <w:sz w:val="30"/>
          <w:szCs w:val="30"/>
        </w:rPr>
        <w:t>十</w:t>
      </w:r>
      <w:r>
        <w:rPr>
          <w:rFonts w:hint="eastAsia" w:ascii="宋体" w:hAnsi="宋体" w:eastAsia="宋体" w:cs="宋体"/>
          <w:b/>
          <w:sz w:val="30"/>
          <w:szCs w:val="30"/>
        </w:rPr>
        <w:t>条</w:t>
      </w:r>
      <w:r>
        <w:rPr>
          <w:rFonts w:hint="eastAsia" w:ascii="宋体" w:hAnsi="宋体" w:cs="宋体"/>
          <w:b/>
          <w:sz w:val="30"/>
          <w:szCs w:val="30"/>
        </w:rPr>
        <w:t xml:space="preserve">  </w:t>
      </w:r>
      <w:r>
        <w:rPr>
          <w:rFonts w:hint="eastAsia" w:ascii="宋体" w:hAnsi="宋体" w:eastAsia="宋体" w:cs="宋体"/>
          <w:b/>
          <w:sz w:val="30"/>
          <w:szCs w:val="30"/>
        </w:rPr>
        <w:t>技术资料要求</w:t>
      </w:r>
    </w:p>
    <w:p w14:paraId="2B46B0BC">
      <w:pPr>
        <w:pStyle w:val="12"/>
        <w:spacing w:line="360" w:lineRule="auto"/>
        <w:ind w:firstLine="525" w:firstLineChars="250"/>
        <w:rPr>
          <w:rFonts w:ascii="宋体" w:hAnsi="宋体"/>
          <w:sz w:val="21"/>
          <w:szCs w:val="21"/>
        </w:rPr>
      </w:pPr>
      <w:r>
        <w:rPr>
          <w:rFonts w:hint="eastAsia" w:ascii="宋体" w:hAnsi="宋体"/>
          <w:sz w:val="21"/>
          <w:szCs w:val="21"/>
        </w:rPr>
        <w:t>供应商应向采购人提供全套中文技术资料一套，其费用包括在谈判价格中：</w:t>
      </w:r>
    </w:p>
    <w:p w14:paraId="29FD0B24">
      <w:pPr>
        <w:pStyle w:val="12"/>
        <w:spacing w:line="360" w:lineRule="auto"/>
        <w:ind w:firstLine="525" w:firstLineChars="250"/>
        <w:rPr>
          <w:rFonts w:ascii="宋体" w:hAnsi="宋体"/>
          <w:sz w:val="21"/>
          <w:szCs w:val="21"/>
        </w:rPr>
      </w:pPr>
      <w:r>
        <w:rPr>
          <w:rFonts w:hint="eastAsia" w:ascii="宋体" w:hAnsi="宋体"/>
          <w:sz w:val="21"/>
          <w:szCs w:val="21"/>
        </w:rPr>
        <w:t>1、完整的产品操作使用手册、说明书和维护、修理技术文件、保修卡等；</w:t>
      </w:r>
    </w:p>
    <w:p w14:paraId="1493310E">
      <w:pPr>
        <w:pStyle w:val="12"/>
        <w:spacing w:line="360" w:lineRule="auto"/>
        <w:ind w:firstLine="525" w:firstLineChars="250"/>
        <w:rPr>
          <w:rFonts w:ascii="宋体" w:hAnsi="宋体"/>
          <w:sz w:val="21"/>
          <w:szCs w:val="21"/>
        </w:rPr>
      </w:pPr>
      <w:r>
        <w:rPr>
          <w:rFonts w:hint="eastAsia" w:ascii="宋体" w:hAnsi="宋体"/>
          <w:sz w:val="21"/>
          <w:szCs w:val="21"/>
        </w:rPr>
        <w:t>2、制造厂的检验、测试报告、产品检验合格证书，质量保证书等文件验收时须一并提供；</w:t>
      </w:r>
    </w:p>
    <w:p w14:paraId="5C5C59EE">
      <w:pPr>
        <w:pStyle w:val="12"/>
        <w:spacing w:line="360" w:lineRule="auto"/>
        <w:ind w:firstLine="525" w:firstLineChars="250"/>
        <w:rPr>
          <w:rFonts w:ascii="宋体" w:hAnsi="宋体"/>
          <w:sz w:val="21"/>
          <w:szCs w:val="21"/>
        </w:rPr>
      </w:pPr>
      <w:r>
        <w:rPr>
          <w:rFonts w:hint="eastAsia" w:ascii="宋体" w:hAnsi="宋体"/>
          <w:sz w:val="21"/>
          <w:szCs w:val="21"/>
        </w:rPr>
        <w:t>3、产品验收标准；</w:t>
      </w:r>
    </w:p>
    <w:p w14:paraId="5168EBDA">
      <w:pPr>
        <w:pStyle w:val="12"/>
        <w:spacing w:line="360" w:lineRule="auto"/>
        <w:ind w:firstLine="525" w:firstLineChars="250"/>
        <w:rPr>
          <w:rFonts w:ascii="宋体" w:hAnsi="宋体"/>
          <w:sz w:val="21"/>
          <w:szCs w:val="21"/>
        </w:rPr>
      </w:pPr>
      <w:r>
        <w:rPr>
          <w:rFonts w:hint="eastAsia" w:ascii="宋体" w:hAnsi="宋体"/>
          <w:sz w:val="21"/>
          <w:szCs w:val="21"/>
        </w:rPr>
        <w:t>4、整体验收后提供验收报告；</w:t>
      </w:r>
    </w:p>
    <w:p w14:paraId="5709354C">
      <w:pPr>
        <w:pStyle w:val="12"/>
        <w:spacing w:line="360" w:lineRule="auto"/>
        <w:ind w:firstLine="525" w:firstLineChars="250"/>
        <w:rPr>
          <w:rFonts w:hAnsi="宋体"/>
        </w:rPr>
      </w:pPr>
      <w:r>
        <w:rPr>
          <w:rFonts w:hint="eastAsia" w:ascii="宋体" w:hAnsi="宋体"/>
          <w:sz w:val="21"/>
          <w:szCs w:val="21"/>
        </w:rPr>
        <w:t>5、合同中要求的其他文件资料</w:t>
      </w:r>
      <w:r>
        <w:rPr>
          <w:rFonts w:hint="eastAsia" w:hAnsi="宋体"/>
        </w:rPr>
        <w:t>。</w:t>
      </w:r>
    </w:p>
    <w:p w14:paraId="431D261A">
      <w:pPr>
        <w:pStyle w:val="12"/>
        <w:spacing w:before="156" w:beforeLines="50" w:after="156" w:afterLines="50" w:line="360" w:lineRule="auto"/>
        <w:ind w:firstLine="301" w:firstLineChars="100"/>
        <w:outlineLvl w:val="1"/>
        <w:rPr>
          <w:rFonts w:ascii="宋体" w:hAnsi="宋体"/>
          <w:sz w:val="30"/>
          <w:szCs w:val="30"/>
        </w:rPr>
      </w:pPr>
      <w:r>
        <w:rPr>
          <w:rFonts w:hint="eastAsia" w:ascii="宋体" w:hAnsi="宋体"/>
          <w:b/>
          <w:sz w:val="30"/>
          <w:szCs w:val="30"/>
        </w:rPr>
        <w:t>第十一条 违约责任</w:t>
      </w:r>
      <w:bookmarkEnd w:id="31"/>
      <w:bookmarkEnd w:id="32"/>
    </w:p>
    <w:p w14:paraId="682C923F">
      <w:pPr>
        <w:pStyle w:val="12"/>
        <w:spacing w:line="360" w:lineRule="auto"/>
        <w:ind w:firstLine="420"/>
        <w:rPr>
          <w:rFonts w:hint="eastAsia" w:ascii="宋体" w:hAnsi="宋体"/>
          <w:kern w:val="0"/>
          <w:sz w:val="21"/>
          <w:szCs w:val="21"/>
          <w:lang w:val="en-US" w:eastAsia="zh-CN"/>
        </w:rPr>
      </w:pPr>
      <w:r>
        <w:rPr>
          <w:rFonts w:hint="eastAsia" w:ascii="宋体" w:hAnsi="宋体"/>
          <w:kern w:val="0"/>
          <w:sz w:val="21"/>
          <w:szCs w:val="21"/>
          <w:lang w:val="en-US" w:eastAsia="zh-CN"/>
        </w:rPr>
        <w:t>1、按《中华人民共和国民法典》中的相关条款执行。</w:t>
      </w:r>
    </w:p>
    <w:p w14:paraId="304A4E88">
      <w:pPr>
        <w:pStyle w:val="12"/>
        <w:spacing w:line="360" w:lineRule="auto"/>
        <w:ind w:firstLine="420"/>
        <w:rPr>
          <w:rFonts w:ascii="宋体" w:hAnsi="宋体"/>
          <w:kern w:val="0"/>
          <w:sz w:val="21"/>
          <w:szCs w:val="21"/>
        </w:rPr>
      </w:pPr>
      <w:r>
        <w:rPr>
          <w:rFonts w:hint="eastAsia" w:ascii="宋体" w:hAnsi="宋体"/>
          <w:kern w:val="0"/>
          <w:sz w:val="21"/>
          <w:szCs w:val="21"/>
          <w:lang w:val="en-US" w:eastAsia="zh-CN"/>
        </w:rPr>
        <w:t>2、未按合同要求提供服务或服务质量不能满足技术要求，采购人有权终止合同，并对供方违约行为进行追究，同时按《中华人民共和国政府采购法》的 有关规定进行处罚。</w:t>
      </w:r>
      <w:r>
        <w:rPr>
          <w:rFonts w:ascii="宋体" w:hAnsi="宋体"/>
          <w:kern w:val="0"/>
          <w:sz w:val="21"/>
          <w:szCs w:val="21"/>
          <w:lang w:val="en-US" w:eastAsia="zh-CN"/>
        </w:rPr>
        <w:t xml:space="preserve"> </w:t>
      </w:r>
    </w:p>
    <w:p w14:paraId="0D67F7FC">
      <w:pPr>
        <w:widowControl/>
        <w:spacing w:before="156" w:beforeLines="50" w:after="156" w:afterLines="50" w:line="360" w:lineRule="auto"/>
        <w:ind w:firstLine="452" w:firstLineChars="150"/>
        <w:jc w:val="left"/>
        <w:outlineLvl w:val="1"/>
        <w:rPr>
          <w:rFonts w:ascii="宋体" w:hAnsi="宋体" w:cs="宋体"/>
          <w:kern w:val="0"/>
          <w:sz w:val="30"/>
          <w:szCs w:val="30"/>
        </w:rPr>
      </w:pPr>
      <w:bookmarkStart w:id="33" w:name="_Toc12233"/>
      <w:bookmarkStart w:id="34" w:name="_Toc31342"/>
      <w:r>
        <w:rPr>
          <w:rFonts w:hint="eastAsia" w:ascii="宋体" w:hAnsi="宋体" w:cs="宋体"/>
          <w:b/>
          <w:sz w:val="30"/>
          <w:szCs w:val="30"/>
        </w:rPr>
        <w:t xml:space="preserve">第十二条 </w:t>
      </w:r>
      <w:r>
        <w:rPr>
          <w:rFonts w:hint="eastAsia" w:ascii="宋体" w:hAnsi="宋体" w:cs="宋体"/>
          <w:b/>
          <w:kern w:val="0"/>
          <w:sz w:val="30"/>
          <w:szCs w:val="30"/>
        </w:rPr>
        <w:t>合同的变更和终止</w:t>
      </w:r>
      <w:bookmarkEnd w:id="33"/>
      <w:bookmarkEnd w:id="34"/>
    </w:p>
    <w:p w14:paraId="20417A0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12197C72">
      <w:pPr>
        <w:widowControl/>
        <w:spacing w:before="156" w:beforeLines="50" w:after="156" w:afterLines="50" w:line="360" w:lineRule="auto"/>
        <w:ind w:firstLine="452" w:firstLineChars="150"/>
        <w:jc w:val="left"/>
        <w:outlineLvl w:val="1"/>
        <w:rPr>
          <w:rFonts w:ascii="宋体" w:hAnsi="宋体" w:cs="宋体"/>
          <w:b/>
          <w:kern w:val="0"/>
          <w:sz w:val="30"/>
          <w:szCs w:val="30"/>
        </w:rPr>
      </w:pPr>
      <w:bookmarkStart w:id="35" w:name="_Toc31201"/>
      <w:bookmarkStart w:id="36" w:name="_Toc26531"/>
      <w:r>
        <w:rPr>
          <w:rFonts w:hint="eastAsia" w:ascii="宋体" w:hAnsi="宋体" w:cs="宋体"/>
          <w:b/>
          <w:kern w:val="0"/>
          <w:sz w:val="30"/>
          <w:szCs w:val="30"/>
        </w:rPr>
        <w:t>第十三条 争议的解决</w:t>
      </w:r>
      <w:bookmarkEnd w:id="35"/>
      <w:bookmarkEnd w:id="36"/>
    </w:p>
    <w:p w14:paraId="7D4850A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1.因货物的质量问题发生争议，由质量技术监督部门或其指定的质量鉴定机构进行质量鉴定。货物符合标准的，鉴定费由甲方承担；货物不符合质量标准的，鉴定费由乙方承担。</w:t>
      </w:r>
    </w:p>
    <w:p w14:paraId="62FF03C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2.因履行本合同引起的或与本合同有关的争议，甲、乙双方应首先通过友好协商解决，如果协商不成，则采取以下第</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种方式解决争议：</w:t>
      </w:r>
    </w:p>
    <w:p w14:paraId="25D2526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（1）向甲方所在地有管辖权的人民法院提起诉讼；</w:t>
      </w:r>
    </w:p>
    <w:p w14:paraId="55A17807">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（2）向</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仲裁委员会按其仲裁规则申请仲裁。</w:t>
      </w:r>
    </w:p>
    <w:p w14:paraId="5D95D3E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3.在仲裁期间，本合同应继续履行。</w:t>
      </w:r>
      <w:bookmarkStart w:id="39" w:name="_GoBack"/>
      <w:bookmarkEnd w:id="39"/>
    </w:p>
    <w:p w14:paraId="6FA81729">
      <w:pPr>
        <w:pStyle w:val="4"/>
        <w:numPr>
          <w:ilvl w:val="0"/>
          <w:numId w:val="1"/>
        </w:numPr>
        <w:rPr>
          <w:rFonts w:ascii="宋体" w:hAnsi="宋体" w:cs="宋体"/>
          <w:b/>
          <w:kern w:val="0"/>
          <w:sz w:val="30"/>
          <w:szCs w:val="30"/>
        </w:rPr>
      </w:pPr>
      <w:bookmarkStart w:id="37" w:name="_Toc6947"/>
      <w:bookmarkStart w:id="38" w:name="_Toc10122"/>
      <w:r>
        <w:rPr>
          <w:rFonts w:hint="eastAsia" w:ascii="宋体" w:hAnsi="宋体" w:cs="宋体"/>
          <w:b/>
          <w:kern w:val="0"/>
          <w:sz w:val="30"/>
          <w:szCs w:val="30"/>
        </w:rPr>
        <w:t>合同生效及其他</w:t>
      </w:r>
      <w:bookmarkEnd w:id="37"/>
      <w:bookmarkEnd w:id="38"/>
    </w:p>
    <w:p w14:paraId="7A15C1F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1.如有未尽事宜，由双方依法订立补充合同。</w:t>
      </w:r>
    </w:p>
    <w:p w14:paraId="5DEA7E3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2.本合同自签订之日起生效。</w:t>
      </w:r>
    </w:p>
    <w:p w14:paraId="09AAB228">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3.本合同一式</w:t>
      </w:r>
      <w:r>
        <w:rPr>
          <w:rFonts w:hint="eastAsia" w:ascii="宋体" w:hAnsi="宋体" w:cs="宋体"/>
          <w:kern w:val="0"/>
          <w:szCs w:val="21"/>
          <w:u w:val="single"/>
        </w:rPr>
        <w:t xml:space="preserve">    </w:t>
      </w:r>
      <w:r>
        <w:rPr>
          <w:rFonts w:hint="eastAsia" w:ascii="宋体" w:hAnsi="宋体" w:cs="宋体"/>
          <w:kern w:val="0"/>
          <w:szCs w:val="21"/>
        </w:rPr>
        <w:t>份，具有同等法律效力，其中，甲方</w:t>
      </w:r>
      <w:r>
        <w:rPr>
          <w:rFonts w:hint="eastAsia" w:ascii="宋体" w:hAnsi="宋体" w:cs="宋体"/>
          <w:kern w:val="0"/>
          <w:szCs w:val="21"/>
          <w:u w:val="single"/>
        </w:rPr>
        <w:t xml:space="preserve">    </w:t>
      </w:r>
      <w:r>
        <w:rPr>
          <w:rFonts w:hint="eastAsia" w:ascii="宋体" w:hAnsi="宋体" w:cs="宋体"/>
          <w:kern w:val="0"/>
          <w:szCs w:val="21"/>
        </w:rPr>
        <w:t>份，乙方</w:t>
      </w:r>
      <w:r>
        <w:rPr>
          <w:rFonts w:hint="eastAsia" w:ascii="宋体" w:hAnsi="宋体" w:cs="宋体"/>
          <w:kern w:val="0"/>
          <w:szCs w:val="21"/>
          <w:u w:val="single"/>
        </w:rPr>
        <w:t xml:space="preserve">    </w:t>
      </w:r>
      <w:r>
        <w:rPr>
          <w:rFonts w:hint="eastAsia" w:ascii="宋体" w:hAnsi="宋体" w:cs="宋体"/>
          <w:kern w:val="0"/>
          <w:szCs w:val="21"/>
        </w:rPr>
        <w:t>份</w:t>
      </w:r>
    </w:p>
    <w:p w14:paraId="7EF4915A">
      <w:pPr>
        <w:rPr>
          <w:rFonts w:ascii="宋体" w:hAnsi="宋体" w:cs="宋体"/>
          <w:szCs w:val="21"/>
        </w:rPr>
      </w:pPr>
      <w:r>
        <w:rPr>
          <w:rFonts w:hint="eastAsia" w:ascii="宋体" w:hAnsi="宋体" w:cs="宋体"/>
          <w:szCs w:val="21"/>
        </w:rPr>
        <w:t>（以下无正文）</w:t>
      </w:r>
    </w:p>
    <w:p w14:paraId="30A41E12">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B8D6058">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负责人/委托代理人：                 法定代表人/委托代理人：</w:t>
      </w:r>
    </w:p>
    <w:p w14:paraId="3CAE5A4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地    址：                          地    址：</w:t>
      </w:r>
    </w:p>
    <w:p w14:paraId="4C553244">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开户银行：                          开户银行：</w:t>
      </w:r>
    </w:p>
    <w:p w14:paraId="7C80176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账    号：                          账    号：</w:t>
      </w:r>
    </w:p>
    <w:p w14:paraId="296BDF4D">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电    话：                          电    话：</w:t>
      </w:r>
    </w:p>
    <w:p w14:paraId="0B895B23">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传    真：                          传    真：</w:t>
      </w:r>
    </w:p>
    <w:p w14:paraId="1A1A5056">
      <w:pPr>
        <w:spacing w:before="156" w:beforeLines="50" w:after="156" w:afterLines="50" w:line="360" w:lineRule="auto"/>
        <w:rPr>
          <w:rFonts w:ascii="宋体" w:hAnsi="宋体" w:cs="宋体"/>
          <w:szCs w:val="21"/>
        </w:rPr>
      </w:pPr>
      <w:r>
        <w:rPr>
          <w:rFonts w:hint="eastAsia" w:ascii="宋体" w:hAnsi="宋体" w:cs="宋体"/>
          <w:szCs w:val="21"/>
        </w:rPr>
        <w:t>签约日期：    年  月  日            签约日期：    年  月  日</w:t>
      </w:r>
    </w:p>
    <w:p w14:paraId="6A817E8C">
      <w:pPr>
        <w:spacing w:line="360" w:lineRule="auto"/>
      </w:pPr>
    </w:p>
    <w:p w14:paraId="19A1D4BE">
      <w:pPr>
        <w:pStyle w:val="11"/>
        <w:spacing w:line="360" w:lineRule="auto"/>
        <w:rPr>
          <w:rFonts w:hint="default"/>
        </w:rPr>
      </w:pPr>
    </w:p>
    <w:p w14:paraId="17BCC9D1">
      <w:pPr>
        <w:pStyle w:val="11"/>
        <w:spacing w:line="360" w:lineRule="auto"/>
        <w:rPr>
          <w:rFonts w:hint="default"/>
        </w:rPr>
      </w:pPr>
    </w:p>
    <w:p w14:paraId="41B660FB">
      <w:pPr>
        <w:pStyle w:val="11"/>
        <w:spacing w:line="360" w:lineRule="auto"/>
        <w:rPr>
          <w:rFonts w:hint="default"/>
        </w:rPr>
      </w:pPr>
    </w:p>
    <w:p w14:paraId="69EDD029">
      <w:pPr>
        <w:pStyle w:val="11"/>
        <w:spacing w:line="360" w:lineRule="auto"/>
        <w:rPr>
          <w:rFonts w:hint="default"/>
        </w:rPr>
      </w:pPr>
    </w:p>
    <w:p w14:paraId="6C901441">
      <w:pPr>
        <w:pStyle w:val="11"/>
        <w:spacing w:line="360" w:lineRule="auto"/>
        <w:rPr>
          <w:rFonts w:hint="default"/>
        </w:rPr>
      </w:pPr>
    </w:p>
    <w:p w14:paraId="325DAF11">
      <w:pPr>
        <w:pStyle w:val="11"/>
        <w:spacing w:line="360" w:lineRule="auto"/>
        <w:rPr>
          <w:rFonts w:hint="default"/>
        </w:rPr>
      </w:pPr>
    </w:p>
    <w:p w14:paraId="0FA39425">
      <w:pPr>
        <w:pStyle w:val="11"/>
        <w:spacing w:line="360" w:lineRule="auto"/>
        <w:rPr>
          <w:rFonts w:hint="default"/>
        </w:rPr>
      </w:pPr>
    </w:p>
    <w:p w14:paraId="330F8D1D">
      <w:pPr>
        <w:pStyle w:val="11"/>
        <w:rPr>
          <w:rFonts w:hint="default"/>
        </w:rPr>
      </w:pPr>
    </w:p>
    <w:p w14:paraId="4747962B">
      <w:pPr>
        <w:pStyle w:val="11"/>
        <w:rPr>
          <w:rFonts w:hint="default"/>
        </w:rPr>
      </w:pPr>
    </w:p>
    <w:p w14:paraId="41CFA616">
      <w:pPr>
        <w:pStyle w:val="11"/>
        <w:rPr>
          <w:rFonts w:hint="default"/>
        </w:rPr>
      </w:pPr>
    </w:p>
    <w:p w14:paraId="26558645">
      <w:pPr>
        <w:pStyle w:val="11"/>
        <w:rPr>
          <w:rFonts w:hint="default"/>
        </w:rPr>
      </w:pPr>
    </w:p>
    <w:p w14:paraId="264E73BB">
      <w:pPr>
        <w:pStyle w:val="11"/>
        <w:rPr>
          <w:rFonts w:hint="default"/>
        </w:rPr>
      </w:pPr>
    </w:p>
    <w:p w14:paraId="586D582B">
      <w:pPr>
        <w:pStyle w:val="11"/>
        <w:rPr>
          <w:rFonts w:hint="default"/>
        </w:rPr>
      </w:pPr>
    </w:p>
    <w:p w14:paraId="731DA883">
      <w:pPr>
        <w:pStyle w:val="11"/>
        <w:rPr>
          <w:rFonts w:hint="default"/>
        </w:rPr>
      </w:pPr>
    </w:p>
    <w:p w14:paraId="6EB2E9C9">
      <w:pPr>
        <w:pStyle w:val="11"/>
        <w:rPr>
          <w:rFonts w:hint="default"/>
        </w:rPr>
      </w:pPr>
    </w:p>
    <w:p w14:paraId="5FE24F95">
      <w:pPr>
        <w:pStyle w:val="11"/>
        <w:spacing w:line="288" w:lineRule="auto"/>
        <w:rPr>
          <w:rFonts w:hint="default" w:ascii="宋体" w:hAnsi="宋体" w:eastAsia="宋体" w:cs="宋体"/>
          <w:sz w:val="21"/>
          <w:szCs w:val="21"/>
        </w:rPr>
      </w:pPr>
    </w:p>
    <w:p w14:paraId="5D746158"/>
    <w:p w14:paraId="6BBFE26C">
      <w:pPr>
        <w:pStyle w:val="11"/>
        <w:rPr>
          <w:rFonts w:hint="default" w:ascii="宋体" w:hAnsi="宋体" w:eastAsia="宋体" w:cs="宋体"/>
        </w:rPr>
      </w:pPr>
      <w:r>
        <w:rPr>
          <w:rFonts w:ascii="宋体" w:hAnsi="宋体" w:eastAsia="宋体" w:cs="宋体"/>
        </w:rPr>
        <w:t xml:space="preserve"> </w:t>
      </w:r>
      <w:r>
        <w:rPr>
          <w:rFonts w:ascii="宋体" w:hAnsi="宋体" w:eastAsia="宋体" w:cs="宋体"/>
        </w:rPr>
        <w:br w:type="textWrapping"/>
      </w:r>
    </w:p>
    <w:p w14:paraId="6C7B6C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0D9B3"/>
    <w:multiLevelType w:val="singleLevel"/>
    <w:tmpl w:val="C890D9B3"/>
    <w:lvl w:ilvl="0" w:tentative="0">
      <w:start w:val="1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833D7"/>
    <w:rsid w:val="036A1510"/>
    <w:rsid w:val="0F0F5662"/>
    <w:rsid w:val="40E559F4"/>
    <w:rsid w:val="455626C4"/>
    <w:rsid w:val="455B6B8C"/>
    <w:rsid w:val="46B833D7"/>
    <w:rsid w:val="477B5067"/>
    <w:rsid w:val="578F1F30"/>
    <w:rsid w:val="77D31AA6"/>
    <w:rsid w:val="7C351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4">
    <w:name w:val="annotation text"/>
    <w:basedOn w:val="1"/>
    <w:qFormat/>
    <w:uiPriority w:val="0"/>
    <w:pPr>
      <w:jc w:val="left"/>
    </w:pPr>
  </w:style>
  <w:style w:type="paragraph" w:styleId="5">
    <w:name w:val="Body Text"/>
    <w:basedOn w:val="1"/>
    <w:next w:val="1"/>
    <w:qFormat/>
    <w:uiPriority w:val="0"/>
    <w:pPr>
      <w:jc w:val="center"/>
    </w:pPr>
  </w:style>
  <w:style w:type="paragraph" w:styleId="6">
    <w:name w:val="Body Text Indent"/>
    <w:basedOn w:val="1"/>
    <w:qFormat/>
    <w:uiPriority w:val="0"/>
    <w:pPr>
      <w:ind w:firstLine="552"/>
    </w:pPr>
    <w:rPr>
      <w:rFonts w:ascii="宋体"/>
      <w:sz w:val="28"/>
    </w:rPr>
  </w:style>
  <w:style w:type="paragraph" w:styleId="7">
    <w:name w:val="Body Text First Indent"/>
    <w:basedOn w:val="5"/>
    <w:next w:val="8"/>
    <w:qFormat/>
    <w:uiPriority w:val="99"/>
    <w:pPr>
      <w:ind w:firstLine="420" w:firstLineChars="100"/>
    </w:pPr>
    <w:rPr>
      <w:rFonts w:ascii="宋体"/>
    </w:rPr>
  </w:style>
  <w:style w:type="paragraph" w:styleId="8">
    <w:name w:val="Body Text First Indent 2"/>
    <w:basedOn w:val="6"/>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3111</Words>
  <Characters>3152</Characters>
  <Lines>0</Lines>
  <Paragraphs>0</Paragraphs>
  <TotalTime>3</TotalTime>
  <ScaleCrop>false</ScaleCrop>
  <LinksUpToDate>false</LinksUpToDate>
  <CharactersWithSpaces>3634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2026-03-19T08:00:00Z</dcterms:created>
  <dc:creator>ヽ陌</dc:creator>
  <cp:lastModifiedBy>田颖</cp:lastModifiedBy>
  <dcterms:modified xsi:type="dcterms:W3CDTF">2026-04-20T09:46:10Z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D5D8C5AC58964C8D8C225B67CC85E2BE_11</vt:lpwstr>
  </property>
  <property fmtid="{D5CDD505-2E9C-101B-9397-08002B2CF9AE}" pid="4" name="KSOTemplateDocerSaveRecord">
    <vt:lpwstr>eyJoZGlkIjoiMWI3Yzk4OWYyMTZmODM3NzE4M2VkZTVlNjRmNjA5M2YiLCJ1c2VySWQiOiI0MjYwNTYzMzIifQ==</vt:lpwstr>
  </property>
</Properties>
</file>