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版本号：SXLX26-01-029Z(F)20260423001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未央区永信路南侧规划路道路建设项目施工图设计、初步设计(代可研)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SXLX26-01-029Z(F)</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未央区永信路南侧规划路道路建设项目施工图设计、初步设计(代可研)</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SXLX26-01-029Z(F)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未央区永信路南侧规划路道路建设项目施工图设计、初步设计(代可研)</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市未央区团结片区内，是区内一条重要的东西向支路，本次设计路段西起御井路，东至北辰路，全长636.292m，道路规划红线宽度15m。道路沿线与御井路(规划路、红线宽度50m)、御井路东侧规划路(同步设计，红线宽度20m)、北辰路(现状路、红线宽度100m)相交。建设内容包括：道路工程、雨水工程、污水工程、交通工程、照明工程、绿化工程等。本次采购内容为根据区域责任划分的范围和要求，为未央区永信路南侧规划路道路建设项目提供初步设计(代可研)、施工图设计服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需具有工程设计综合资质甲级或市政行业工程设计乙级及以上资质或市政行业(燃气、轨道交通工程除外)设计乙级及以上资质或市政行业(道路工程)专业乙级及以上资质；且通过“全国投资项目在线审批监管平台”(http://www.tzxm.gov.cn)的工程咨询机构(专业含市政公用工程)备案(截图)。(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供应商拟派项目负责人需具有在本单位登记的咨询工程师(投资)资格证书(市政专业)或注册土木工程师（道路工程）执业资格(在本单位注册)。(根据“资格证明文件”中提供的要求和说明，提供符合条件的证明材料)</w:t>
      </w:r>
    </w:p>
    <w:p>
      <w:pPr>
        <w:pStyle w:val="null3"/>
      </w:pPr>
      <w:r>
        <w:rPr>
          <w:rFonts w:ascii="仿宋_GB2312" w:hAnsi="仿宋_GB2312" w:cs="仿宋_GB2312" w:eastAsia="仿宋_GB2312"/>
        </w:rPr>
        <w:t>3、其他特殊资格(行政许可)要求：供应商基本信息(设计资质)及项目负责人的基本信息(注册资格证书)在“陕西省住房和城乡建设厅”(http://js.shaanxi.gov.cn/)或“陕西政务服务网”(https://zwfw.shaanxi.gov.cn/sx/public/index)可查询且无不良行为记录并在各级建设诚信信息平台未被列为投标受限制的行为人或被列为严重违法失信企业名单(承诺)。(根据“资格证明文件”中提供的要求和说明，提供符合条件的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殊资格(行政许可)要求：供应商需具有工程设计综合资质甲级或市政行业工程设计乙级及以上资质或市政行业(燃气、轨道交通工程除)设计乙级及以上资质或市政行业(道路工程)专业乙级及以上资质。(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2、供应商拟派项目负责人特殊资格(行政许可)要求：供应商拟派项目负责人须具备注册土木工程师（道路工程）执业资格(在本单位注册)。(根据“资格证明文件”中提供的要求和说明，提供符合条件的证明材料)</w:t>
      </w:r>
    </w:p>
    <w:p>
      <w:pPr>
        <w:pStyle w:val="null3"/>
      </w:pPr>
      <w:r>
        <w:rPr>
          <w:rFonts w:ascii="仿宋_GB2312" w:hAnsi="仿宋_GB2312" w:cs="仿宋_GB2312" w:eastAsia="仿宋_GB2312"/>
        </w:rPr>
        <w:t>3、其他特殊资格(行政许可)要求：供应商基本信息及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承诺)。(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采购包1：155,840.00元</w:t>
            </w:r>
          </w:p>
          <w:p>
            <w:pPr>
              <w:pStyle w:val="null3"/>
            </w:pPr>
            <w:r>
              <w:rPr>
                <w:rFonts w:ascii="仿宋_GB2312" w:hAnsi="仿宋_GB2312" w:cs="仿宋_GB2312" w:eastAsia="仿宋_GB2312"/>
              </w:rPr>
              <w:t>采购包2：158,160.00元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捌仟圆收取(采购包1按肆仟圆收取、采购包2按肆仟圆)；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未央区团结片区内，是区内一条重要的东西向支路，本次设计路段西起御井路，东至北辰路，全长636.292m，道路规划红线宽度15m。道路沿线与御井路(规划路、红线宽度50m)、御井路东侧规划路(同步设计，红线宽度20m)、北辰路(现状路、红线宽度100m)相交。建设内容包括：道路工程、雨水工程、污水工程、交通工程、照明工程、绿化工程等。本次采购内容为根据区域责任划分的范围和要求，为未央区永信路南侧规划路道路建设项目提供初步设计(代可研)、施工图设计服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155,840.00</w:t>
      </w:r>
    </w:p>
    <w:p>
      <w:pPr>
        <w:pStyle w:val="null3"/>
      </w:pPr>
      <w:r>
        <w:rPr>
          <w:rFonts w:ascii="仿宋_GB2312" w:hAnsi="仿宋_GB2312" w:cs="仿宋_GB2312" w:eastAsia="仿宋_GB2312"/>
        </w:rPr>
        <w:t>采购包最高限价（元）: 155,840.00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未央区永信路南侧规划路道路建设项目初步设计(代可研)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155,840.00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158,160.00</w:t>
      </w:r>
    </w:p>
    <w:p>
      <w:pPr>
        <w:pStyle w:val="null3"/>
      </w:pPr>
      <w:r>
        <w:rPr>
          <w:rFonts w:ascii="仿宋_GB2312" w:hAnsi="仿宋_GB2312" w:cs="仿宋_GB2312" w:eastAsia="仿宋_GB2312"/>
        </w:rPr>
        <w:t>采购包最高限价（元）: 158,160.00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未央区永信路南侧规划路道路建设项目施工图设计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158,160.00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标的名称：未央区永信路南侧规划路道路建设项目初步设计(代可研)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一、服务内容</w:t>
            </w:r>
            <w:r>
              <w:rPr>
                <w:rFonts w:ascii="仿宋_GB2312" w:hAnsi="仿宋_GB2312" w:cs="仿宋_GB2312" w:eastAsia="仿宋_GB2312"/>
                <w:sz w:val="20"/>
                <w:b/>
                <w:color w:val="000000"/>
              </w:rPr>
              <w:t>(包含但不限于)：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初步设计</w:t>
            </w:r>
            <w:r>
              <w:rPr>
                <w:rFonts w:ascii="仿宋_GB2312" w:hAnsi="仿宋_GB2312" w:cs="仿宋_GB2312" w:eastAsia="仿宋_GB2312"/>
                <w:sz w:val="21"/>
                <w:color w:val="000000"/>
              </w:rPr>
              <w:t>(代可研)</w:t>
            </w:r>
            <w:r>
              <w:rPr>
                <w:rFonts w:ascii="仿宋_GB2312" w:hAnsi="仿宋_GB2312" w:cs="仿宋_GB2312" w:eastAsia="仿宋_GB2312"/>
                <w:sz w:val="20"/>
                <w:color w:val="000000"/>
              </w:rPr>
              <w:t>方案</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初步</w:t>
            </w:r>
            <w:r>
              <w:rPr>
                <w:rFonts w:ascii="仿宋_GB2312" w:hAnsi="仿宋_GB2312" w:cs="仿宋_GB2312" w:eastAsia="仿宋_GB2312"/>
                <w:sz w:val="20"/>
                <w:color w:val="000000"/>
              </w:rPr>
              <w:t>工程投资概算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3）根据项目实际情况提出合理化建议；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4）项目成果资料的汇编整理及项目过程资料收集整理；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5）项目其他</w:t>
            </w:r>
            <w:r>
              <w:rPr>
                <w:rFonts w:ascii="仿宋_GB2312" w:hAnsi="仿宋_GB2312" w:cs="仿宋_GB2312" w:eastAsia="仿宋_GB2312"/>
                <w:sz w:val="20"/>
                <w:color w:val="000000"/>
              </w:rPr>
              <w:t>初步设计</w:t>
            </w:r>
            <w:r>
              <w:rPr>
                <w:rFonts w:ascii="仿宋_GB2312" w:hAnsi="仿宋_GB2312" w:cs="仿宋_GB2312" w:eastAsia="仿宋_GB2312"/>
                <w:sz w:val="21"/>
                <w:color w:val="000000"/>
              </w:rPr>
              <w:t>(代可研)</w:t>
            </w:r>
            <w:r>
              <w:rPr>
                <w:rFonts w:ascii="仿宋_GB2312" w:hAnsi="仿宋_GB2312" w:cs="仿宋_GB2312" w:eastAsia="仿宋_GB2312"/>
                <w:sz w:val="20"/>
                <w:color w:val="000000"/>
              </w:rPr>
              <w:t>有关咨询的服务。</w:t>
            </w:r>
          </w:p>
          <w:p>
            <w:pPr>
              <w:pStyle w:val="null3"/>
              <w:jc w:val="both"/>
            </w:pPr>
            <w:r>
              <w:rPr>
                <w:rFonts w:ascii="仿宋_GB2312" w:hAnsi="仿宋_GB2312" w:cs="仿宋_GB2312" w:eastAsia="仿宋_GB2312"/>
                <w:sz w:val="20"/>
                <w:b/>
                <w:color w:val="000000"/>
              </w:rPr>
              <w:t>二、技术要求：</w:t>
            </w:r>
            <w:r>
              <w:rPr>
                <w:rFonts w:ascii="仿宋_GB2312" w:hAnsi="仿宋_GB2312" w:cs="仿宋_GB2312" w:eastAsia="仿宋_GB2312"/>
                <w:sz w:val="20"/>
                <w:color w:val="000000"/>
              </w:rPr>
              <w:t>具备开展</w:t>
            </w:r>
            <w:r>
              <w:rPr>
                <w:rFonts w:ascii="仿宋_GB2312" w:hAnsi="仿宋_GB2312" w:cs="仿宋_GB2312" w:eastAsia="仿宋_GB2312"/>
                <w:sz w:val="20"/>
                <w:color w:val="000000"/>
              </w:rPr>
              <w:t>道路建设</w:t>
            </w:r>
            <w:r>
              <w:rPr>
                <w:rFonts w:ascii="仿宋_GB2312" w:hAnsi="仿宋_GB2312" w:cs="仿宋_GB2312" w:eastAsia="仿宋_GB2312"/>
                <w:sz w:val="20"/>
                <w:color w:val="000000"/>
              </w:rPr>
              <w:t>可行性研究报告编制和</w:t>
            </w:r>
            <w:r>
              <w:rPr>
                <w:rFonts w:ascii="仿宋_GB2312" w:hAnsi="仿宋_GB2312" w:cs="仿宋_GB2312" w:eastAsia="仿宋_GB2312"/>
                <w:sz w:val="20"/>
                <w:color w:val="000000"/>
              </w:rPr>
              <w:t>初步设计</w:t>
            </w:r>
            <w:r>
              <w:rPr>
                <w:rFonts w:ascii="仿宋_GB2312" w:hAnsi="仿宋_GB2312" w:cs="仿宋_GB2312" w:eastAsia="仿宋_GB2312"/>
                <w:sz w:val="20"/>
                <w:color w:val="000000"/>
              </w:rPr>
              <w:t>的技术力量和经验，采取科学、严谨、针对性强的执行方案，按照国家法律法规的有关规定及操作规程做好项目的初步设计</w:t>
            </w:r>
            <w:r>
              <w:rPr>
                <w:rFonts w:ascii="仿宋_GB2312" w:hAnsi="仿宋_GB2312" w:cs="仿宋_GB2312" w:eastAsia="仿宋_GB2312"/>
                <w:sz w:val="20"/>
                <w:color w:val="000000"/>
              </w:rPr>
              <w:t>(代可研)，标准符合国家有关工程建设标准强制性条文和建设部门关于</w:t>
            </w:r>
            <w:r>
              <w:rPr>
                <w:rFonts w:ascii="仿宋_GB2312" w:hAnsi="仿宋_GB2312" w:cs="仿宋_GB2312" w:eastAsia="仿宋_GB2312"/>
                <w:sz w:val="20"/>
                <w:color w:val="000000"/>
              </w:rPr>
              <w:t>道路建设</w:t>
            </w:r>
            <w:r>
              <w:rPr>
                <w:rFonts w:ascii="仿宋_GB2312" w:hAnsi="仿宋_GB2312" w:cs="仿宋_GB2312" w:eastAsia="仿宋_GB2312"/>
                <w:sz w:val="20"/>
                <w:color w:val="000000"/>
              </w:rPr>
              <w:t>工程的标准、规范、规程、定额、办法、示例以及采购人要求</w:t>
            </w:r>
            <w:r>
              <w:rPr>
                <w:rFonts w:ascii="仿宋_GB2312" w:hAnsi="仿宋_GB2312" w:cs="仿宋_GB2312" w:eastAsia="仿宋_GB2312"/>
                <w:sz w:val="20"/>
                <w:color w:val="000000"/>
              </w:rPr>
              <w:t>，，技术规范包括但不限于：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《关于投资项目可行性研究报告编写大纲的说明》（</w:t>
            </w:r>
            <w:r>
              <w:rPr>
                <w:rFonts w:ascii="仿宋_GB2312" w:hAnsi="仿宋_GB2312" w:cs="仿宋_GB2312" w:eastAsia="仿宋_GB2312"/>
                <w:sz w:val="20"/>
                <w:color w:val="000000"/>
              </w:rPr>
              <w:t>2023 年版）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《市政公用工程设计文件深度规定》（</w:t>
            </w:r>
            <w:r>
              <w:rPr>
                <w:rFonts w:ascii="仿宋_GB2312" w:hAnsi="仿宋_GB2312" w:cs="仿宋_GB2312" w:eastAsia="仿宋_GB2312"/>
                <w:sz w:val="20"/>
                <w:color w:val="000000"/>
              </w:rPr>
              <w:t>2025 年版）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《城市道路交通工程项目规范》（</w:t>
            </w:r>
            <w:r>
              <w:rPr>
                <w:rFonts w:ascii="仿宋_GB2312" w:hAnsi="仿宋_GB2312" w:cs="仿宋_GB2312" w:eastAsia="仿宋_GB2312"/>
                <w:sz w:val="20"/>
                <w:color w:val="000000"/>
              </w:rPr>
              <w:t>GB55011-2021）；</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《城市道路工程设计规范》（</w:t>
            </w:r>
            <w:r>
              <w:rPr>
                <w:rFonts w:ascii="仿宋_GB2312" w:hAnsi="仿宋_GB2312" w:cs="仿宋_GB2312" w:eastAsia="仿宋_GB2312"/>
                <w:sz w:val="20"/>
                <w:color w:val="000000"/>
              </w:rPr>
              <w:t>CJJ37-2012）（2016 年版）；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《城镇道路路面设计规范》（</w:t>
            </w:r>
            <w:r>
              <w:rPr>
                <w:rFonts w:ascii="仿宋_GB2312" w:hAnsi="仿宋_GB2312" w:cs="仿宋_GB2312" w:eastAsia="仿宋_GB2312"/>
                <w:sz w:val="20"/>
                <w:color w:val="000000"/>
              </w:rPr>
              <w:t>CJJ169-2012）；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《城市道路交叉口设计规程》（</w:t>
            </w:r>
            <w:r>
              <w:rPr>
                <w:rFonts w:ascii="仿宋_GB2312" w:hAnsi="仿宋_GB2312" w:cs="仿宋_GB2312" w:eastAsia="仿宋_GB2312"/>
                <w:sz w:val="20"/>
                <w:color w:val="000000"/>
              </w:rPr>
              <w:t>CJJ152-2010）</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《室外排水设计标准》（</w:t>
            </w:r>
            <w:r>
              <w:rPr>
                <w:rFonts w:ascii="仿宋_GB2312" w:hAnsi="仿宋_GB2312" w:cs="仿宋_GB2312" w:eastAsia="仿宋_GB2312"/>
                <w:sz w:val="20"/>
                <w:color w:val="000000"/>
              </w:rPr>
              <w:t>GB50014-2021）；</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《城市给水工程项目规范》（</w:t>
            </w:r>
            <w:r>
              <w:rPr>
                <w:rFonts w:ascii="仿宋_GB2312" w:hAnsi="仿宋_GB2312" w:cs="仿宋_GB2312" w:eastAsia="仿宋_GB2312"/>
                <w:sz w:val="20"/>
                <w:color w:val="000000"/>
              </w:rPr>
              <w:t>GB55026-2022）；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《城乡排水工程项目规范》（</w:t>
            </w:r>
            <w:r>
              <w:rPr>
                <w:rFonts w:ascii="仿宋_GB2312" w:hAnsi="仿宋_GB2312" w:cs="仿宋_GB2312" w:eastAsia="仿宋_GB2312"/>
                <w:sz w:val="20"/>
                <w:color w:val="000000"/>
              </w:rPr>
              <w:t>GB55027-2022）；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其他相关规标准。</w:t>
            </w:r>
          </w:p>
          <w:p>
            <w:pPr>
              <w:pStyle w:val="null3"/>
              <w:ind w:firstLine="200"/>
              <w:jc w:val="both"/>
            </w:pPr>
            <w:r>
              <w:rPr>
                <w:rFonts w:ascii="仿宋_GB2312" w:hAnsi="仿宋_GB2312" w:cs="仿宋_GB2312" w:eastAsia="仿宋_GB2312"/>
                <w:sz w:val="20"/>
                <w:color w:val="000000"/>
              </w:rPr>
              <w:t>凡涉及的相关规范，国家有最新标准的以最新标准为准，所有标准哪个标准高执行哪个标准。</w:t>
            </w:r>
          </w:p>
          <w:p>
            <w:pPr>
              <w:pStyle w:val="null3"/>
              <w:jc w:val="both"/>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设计原则及要求</w:t>
            </w:r>
            <w:r>
              <w:rPr>
                <w:rFonts w:ascii="仿宋_GB2312" w:hAnsi="仿宋_GB2312" w:cs="仿宋_GB2312" w:eastAsia="仿宋_GB2312"/>
                <w:sz w:val="20"/>
                <w:b/>
                <w:color w:val="000000"/>
              </w:rPr>
              <w:t>：</w:t>
            </w:r>
            <w:r>
              <w:rPr>
                <w:rFonts w:ascii="仿宋_GB2312" w:hAnsi="仿宋_GB2312" w:cs="仿宋_GB2312" w:eastAsia="仿宋_GB2312"/>
                <w:sz w:val="20"/>
                <w:color w:val="000000"/>
              </w:rPr>
              <w:t>做到</w:t>
            </w:r>
            <w:r>
              <w:rPr>
                <w:rFonts w:ascii="仿宋_GB2312" w:hAnsi="仿宋_GB2312" w:cs="仿宋_GB2312" w:eastAsia="仿宋_GB2312"/>
                <w:sz w:val="20"/>
                <w:color w:val="000000"/>
              </w:rPr>
              <w:t>科学严谨、</w:t>
            </w:r>
            <w:r>
              <w:rPr>
                <w:rFonts w:ascii="仿宋_GB2312" w:hAnsi="仿宋_GB2312" w:cs="仿宋_GB2312" w:eastAsia="仿宋_GB2312"/>
                <w:sz w:val="20"/>
                <w:color w:val="000000"/>
              </w:rPr>
              <w:t>技术合理、经济合算、</w:t>
            </w:r>
            <w:r>
              <w:rPr>
                <w:rFonts w:ascii="仿宋_GB2312" w:hAnsi="仿宋_GB2312" w:cs="仿宋_GB2312" w:eastAsia="仿宋_GB2312"/>
                <w:sz w:val="20"/>
                <w:color w:val="000000"/>
              </w:rPr>
              <w:t>实施</w:t>
            </w:r>
            <w:r>
              <w:rPr>
                <w:rFonts w:ascii="仿宋_GB2312" w:hAnsi="仿宋_GB2312" w:cs="仿宋_GB2312" w:eastAsia="仿宋_GB2312"/>
                <w:sz w:val="20"/>
                <w:color w:val="000000"/>
              </w:rPr>
              <w:t>可靠，按不低于我市基础设施的平均水平实施初步设计</w:t>
            </w:r>
            <w:r>
              <w:rPr>
                <w:rFonts w:ascii="仿宋_GB2312" w:hAnsi="仿宋_GB2312" w:cs="仿宋_GB2312" w:eastAsia="仿宋_GB2312"/>
                <w:sz w:val="20"/>
                <w:color w:val="000000"/>
              </w:rPr>
              <w:t>和可行性研究</w:t>
            </w:r>
            <w:r>
              <w:rPr>
                <w:rFonts w:ascii="仿宋_GB2312" w:hAnsi="仿宋_GB2312" w:cs="仿宋_GB2312" w:eastAsia="仿宋_GB2312"/>
                <w:sz w:val="20"/>
                <w:color w:val="000000"/>
              </w:rPr>
              <w:t>，保证道路建设</w:t>
            </w:r>
            <w:r>
              <w:rPr>
                <w:rFonts w:ascii="仿宋_GB2312" w:hAnsi="仿宋_GB2312" w:cs="仿宋_GB2312" w:eastAsia="仿宋_GB2312"/>
                <w:sz w:val="20"/>
                <w:color w:val="000000"/>
              </w:rPr>
              <w:t>流程和步骤</w:t>
            </w:r>
            <w:r>
              <w:rPr>
                <w:rFonts w:ascii="仿宋_GB2312" w:hAnsi="仿宋_GB2312" w:cs="仿宋_GB2312" w:eastAsia="仿宋_GB2312"/>
                <w:sz w:val="20"/>
                <w:color w:val="000000"/>
              </w:rPr>
              <w:t>符合标准、正常</w:t>
            </w:r>
            <w:r>
              <w:rPr>
                <w:rFonts w:ascii="仿宋_GB2312" w:hAnsi="仿宋_GB2312" w:cs="仿宋_GB2312" w:eastAsia="仿宋_GB2312"/>
                <w:sz w:val="20"/>
                <w:color w:val="000000"/>
              </w:rPr>
              <w:t>实施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进度要求：</w:t>
            </w:r>
            <w:r>
              <w:rPr>
                <w:rFonts w:ascii="仿宋_GB2312" w:hAnsi="仿宋_GB2312" w:cs="仿宋_GB2312" w:eastAsia="仿宋_GB2312"/>
                <w:sz w:val="20"/>
                <w:color w:val="000000"/>
              </w:rPr>
              <w:t>通过采取组织、技术、经济</w:t>
            </w:r>
            <w:r>
              <w:rPr>
                <w:rFonts w:ascii="仿宋_GB2312" w:hAnsi="仿宋_GB2312" w:cs="仿宋_GB2312" w:eastAsia="仿宋_GB2312"/>
                <w:sz w:val="20"/>
                <w:color w:val="000000"/>
              </w:rPr>
              <w:t>等</w:t>
            </w:r>
            <w:r>
              <w:rPr>
                <w:rFonts w:ascii="仿宋_GB2312" w:hAnsi="仿宋_GB2312" w:cs="仿宋_GB2312" w:eastAsia="仿宋_GB2312"/>
                <w:sz w:val="20"/>
                <w:color w:val="000000"/>
              </w:rPr>
              <w:t>控制措施将项目实施进度控制在采购人所要求的合理时间节点内。</w:t>
            </w:r>
          </w:p>
          <w:p>
            <w:pPr>
              <w:pStyle w:val="null3"/>
              <w:jc w:val="left"/>
            </w:pP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服务</w:t>
            </w:r>
            <w:r>
              <w:rPr>
                <w:rFonts w:ascii="仿宋_GB2312" w:hAnsi="仿宋_GB2312" w:cs="仿宋_GB2312" w:eastAsia="仿宋_GB2312"/>
                <w:sz w:val="20"/>
                <w:b/>
                <w:color w:val="000000"/>
              </w:rPr>
              <w:t>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1）服务方须指派专属人员与采购人联系服务事宜，服务响应时间应根据采购人实际安排随时调整。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2）服务方需根据服务实际情况编制服务方案、管理方案、服务计划、</w:t>
            </w:r>
            <w:r>
              <w:rPr>
                <w:rFonts w:ascii="仿宋_GB2312" w:hAnsi="仿宋_GB2312" w:cs="仿宋_GB2312" w:eastAsia="仿宋_GB2312"/>
                <w:sz w:val="20"/>
                <w:color w:val="000000"/>
              </w:rPr>
              <w:t>重点难点分析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质量控制、后续服务</w:t>
            </w:r>
            <w:r>
              <w:rPr>
                <w:rFonts w:ascii="仿宋_GB2312" w:hAnsi="仿宋_GB2312" w:cs="仿宋_GB2312" w:eastAsia="仿宋_GB2312"/>
                <w:sz w:val="20"/>
                <w:color w:val="000000"/>
              </w:rPr>
              <w:t>等方案措施。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）服务过程中，严格遵守各种管理规定及规章制度，做到奉公守法、诚实守信、廉洁自律、安全文明；服务过程中如发生工伤及意外事故由服务单位负责。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）严格按照国家、陕西省、西安市有关规定及采购人要求进行服务，不得随意更改或者变换服务内容，每项服务内容实施前应事先取得采购人的落实后方可实施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）配合促进采购人安排的其他相关工作</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六、成果要求：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成果内容应完整真实、科学严谨、思路清晰、具有代表性，综合考虑道路建设</w:t>
            </w:r>
            <w:r>
              <w:rPr>
                <w:rFonts w:ascii="仿宋_GB2312" w:hAnsi="仿宋_GB2312" w:cs="仿宋_GB2312" w:eastAsia="仿宋_GB2312"/>
                <w:sz w:val="20"/>
                <w:color w:val="000000"/>
              </w:rPr>
              <w:t>的</w:t>
            </w:r>
            <w:r>
              <w:rPr>
                <w:rFonts w:ascii="仿宋_GB2312" w:hAnsi="仿宋_GB2312" w:cs="仿宋_GB2312" w:eastAsia="仿宋_GB2312"/>
                <w:sz w:val="20"/>
                <w:color w:val="000000"/>
              </w:rPr>
              <w:t>功能和潜力，提出</w:t>
            </w:r>
            <w:r>
              <w:rPr>
                <w:rFonts w:ascii="仿宋_GB2312" w:hAnsi="仿宋_GB2312" w:cs="仿宋_GB2312" w:eastAsia="仿宋_GB2312"/>
                <w:sz w:val="20"/>
                <w:color w:val="000000"/>
              </w:rPr>
              <w:t>建设</w:t>
            </w:r>
            <w:r>
              <w:rPr>
                <w:rFonts w:ascii="仿宋_GB2312" w:hAnsi="仿宋_GB2312" w:cs="仿宋_GB2312" w:eastAsia="仿宋_GB2312"/>
                <w:sz w:val="20"/>
                <w:color w:val="000000"/>
              </w:rPr>
              <w:t>实施详细规划</w:t>
            </w:r>
            <w:r>
              <w:rPr>
                <w:rFonts w:ascii="仿宋_GB2312" w:hAnsi="仿宋_GB2312" w:cs="仿宋_GB2312" w:eastAsia="仿宋_GB2312"/>
                <w:sz w:val="20"/>
                <w:color w:val="000000"/>
              </w:rPr>
              <w:t>和可行性</w:t>
            </w:r>
            <w:r>
              <w:rPr>
                <w:rFonts w:ascii="仿宋_GB2312" w:hAnsi="仿宋_GB2312" w:cs="仿宋_GB2312" w:eastAsia="仿宋_GB2312"/>
                <w:sz w:val="20"/>
                <w:color w:val="000000"/>
              </w:rPr>
              <w:t>优化方案</w:t>
            </w:r>
            <w:r>
              <w:rPr>
                <w:rFonts w:ascii="仿宋_GB2312" w:hAnsi="仿宋_GB2312" w:cs="仿宋_GB2312" w:eastAsia="仿宋_GB2312"/>
                <w:sz w:val="20"/>
                <w:color w:val="000000"/>
              </w:rPr>
              <w:t>，</w:t>
            </w:r>
            <w:r>
              <w:rPr>
                <w:rFonts w:ascii="仿宋_GB2312" w:hAnsi="仿宋_GB2312" w:cs="仿宋_GB2312" w:eastAsia="仿宋_GB2312"/>
                <w:sz w:val="20"/>
                <w:color w:val="000000"/>
              </w:rPr>
              <w:t>符合新形势、新变化、</w:t>
            </w:r>
            <w:r>
              <w:rPr>
                <w:rFonts w:ascii="仿宋_GB2312" w:hAnsi="仿宋_GB2312" w:cs="仿宋_GB2312" w:eastAsia="仿宋_GB2312"/>
                <w:sz w:val="20"/>
                <w:color w:val="000000"/>
              </w:rPr>
              <w:t>新</w:t>
            </w:r>
            <w:r>
              <w:rPr>
                <w:rFonts w:ascii="仿宋_GB2312" w:hAnsi="仿宋_GB2312" w:cs="仿宋_GB2312" w:eastAsia="仿宋_GB2312"/>
                <w:sz w:val="20"/>
                <w:color w:val="000000"/>
              </w:rPr>
              <w:t>发展下道路建设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成果</w:t>
            </w:r>
            <w:r>
              <w:rPr>
                <w:rFonts w:ascii="仿宋_GB2312" w:hAnsi="仿宋_GB2312" w:cs="仿宋_GB2312" w:eastAsia="仿宋_GB2312"/>
                <w:sz w:val="20"/>
                <w:color w:val="000000"/>
              </w:rPr>
              <w:t>文件包括：</w:t>
            </w:r>
            <w:r>
              <w:rPr>
                <w:rFonts w:ascii="仿宋_GB2312" w:hAnsi="仿宋_GB2312" w:cs="仿宋_GB2312" w:eastAsia="仿宋_GB2312"/>
                <w:sz w:val="20"/>
                <w:color w:val="000000"/>
              </w:rPr>
              <w:t>初步设计说明、初步设计方案图、工程投资概算</w:t>
            </w:r>
            <w:r>
              <w:rPr>
                <w:rFonts w:ascii="仿宋_GB2312" w:hAnsi="仿宋_GB2312" w:cs="仿宋_GB2312" w:eastAsia="仿宋_GB2312"/>
                <w:sz w:val="20"/>
                <w:color w:val="000000"/>
              </w:rPr>
              <w:t>等，所有初步设计</w:t>
            </w:r>
            <w:r>
              <w:rPr>
                <w:rFonts w:ascii="仿宋_GB2312" w:hAnsi="仿宋_GB2312" w:cs="仿宋_GB2312" w:eastAsia="仿宋_GB2312"/>
                <w:sz w:val="20"/>
                <w:color w:val="000000"/>
              </w:rPr>
              <w:t>(代可研)成果</w:t>
            </w:r>
            <w:r>
              <w:rPr>
                <w:rFonts w:ascii="仿宋_GB2312" w:hAnsi="仿宋_GB2312" w:cs="仿宋_GB2312" w:eastAsia="仿宋_GB2312"/>
                <w:sz w:val="20"/>
                <w:color w:val="000000"/>
              </w:rPr>
              <w:t>初稿</w:t>
            </w:r>
            <w:r>
              <w:rPr>
                <w:rFonts w:ascii="仿宋_GB2312" w:hAnsi="仿宋_GB2312" w:cs="仿宋_GB2312" w:eastAsia="仿宋_GB2312"/>
                <w:sz w:val="20"/>
                <w:color w:val="000000"/>
              </w:rPr>
              <w:t>完成</w:t>
            </w:r>
            <w:r>
              <w:rPr>
                <w:rFonts w:ascii="仿宋_GB2312" w:hAnsi="仿宋_GB2312" w:cs="仿宋_GB2312" w:eastAsia="仿宋_GB2312"/>
                <w:sz w:val="20"/>
                <w:color w:val="000000"/>
              </w:rPr>
              <w:t>后应按</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提出的审查意见和修改意见进行修改，直至获得有关主管部门审批通过</w:t>
            </w:r>
            <w:r>
              <w:rPr>
                <w:rFonts w:ascii="仿宋_GB2312" w:hAnsi="仿宋_GB2312" w:cs="仿宋_GB2312" w:eastAsia="仿宋_GB2312"/>
                <w:sz w:val="20"/>
                <w:color w:val="000000"/>
              </w:rPr>
              <w:t>，</w:t>
            </w:r>
            <w:r>
              <w:rPr>
                <w:rFonts w:ascii="仿宋_GB2312" w:hAnsi="仿宋_GB2312" w:cs="仿宋_GB2312" w:eastAsia="仿宋_GB2312"/>
                <w:sz w:val="20"/>
                <w:color w:val="000000"/>
              </w:rPr>
              <w:t>本项目所完成的编制成果的所有权、知识产权归</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）所有提供资料包括：</w:t>
            </w:r>
            <w:r>
              <w:rPr>
                <w:rFonts w:ascii="仿宋_GB2312" w:hAnsi="仿宋_GB2312" w:cs="仿宋_GB2312" w:eastAsia="仿宋_GB2312"/>
                <w:sz w:val="20"/>
                <w:color w:val="000000"/>
              </w:rPr>
              <w:t>①纸质成果印刷</w:t>
            </w:r>
            <w:r>
              <w:rPr>
                <w:rFonts w:ascii="仿宋_GB2312" w:hAnsi="仿宋_GB2312" w:cs="仿宋_GB2312" w:eastAsia="仿宋_GB2312"/>
                <w:sz w:val="20"/>
                <w:color w:val="000000"/>
              </w:rPr>
              <w:t>一</w:t>
            </w:r>
            <w:r>
              <w:rPr>
                <w:rFonts w:ascii="仿宋_GB2312" w:hAnsi="仿宋_GB2312" w:cs="仿宋_GB2312" w:eastAsia="仿宋_GB2312"/>
                <w:sz w:val="20"/>
                <w:color w:val="000000"/>
              </w:rPr>
              <w:t>份；</w:t>
            </w:r>
            <w:r>
              <w:rPr>
                <w:rFonts w:ascii="仿宋_GB2312" w:hAnsi="仿宋_GB2312" w:cs="仿宋_GB2312" w:eastAsia="仿宋_GB2312"/>
                <w:sz w:val="20"/>
                <w:color w:val="000000"/>
              </w:rPr>
              <w:t>②电子成果为与纸质成果相对应的电子文档（pdf格式）。</w:t>
            </w:r>
          </w:p>
          <w:p>
            <w:pPr>
              <w:pStyle w:val="null3"/>
              <w:jc w:val="left"/>
            </w:pPr>
            <w:r>
              <w:rPr>
                <w:rFonts w:ascii="仿宋_GB2312" w:hAnsi="仿宋_GB2312" w:cs="仿宋_GB2312" w:eastAsia="仿宋_GB2312"/>
                <w:sz w:val="20"/>
                <w:b/>
                <w:color w:val="000000"/>
              </w:rPr>
              <w:t>七、服务标准：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标的名称：未央区永信路南侧规划路道路建设项目施工图设计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一、服务内容</w:t>
            </w:r>
            <w:r>
              <w:rPr>
                <w:rFonts w:ascii="仿宋_GB2312" w:hAnsi="仿宋_GB2312" w:cs="仿宋_GB2312" w:eastAsia="仿宋_GB2312"/>
                <w:sz w:val="20"/>
                <w:b/>
                <w:color w:val="000000"/>
              </w:rPr>
              <w:t>(包含但不限于)：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1）编制</w:t>
            </w:r>
            <w:r>
              <w:rPr>
                <w:rFonts w:ascii="仿宋_GB2312" w:hAnsi="仿宋_GB2312" w:cs="仿宋_GB2312" w:eastAsia="仿宋_GB2312"/>
                <w:sz w:val="20"/>
                <w:color w:val="000000"/>
              </w:rPr>
              <w:t>施工图</w:t>
            </w:r>
            <w:r>
              <w:rPr>
                <w:rFonts w:ascii="仿宋_GB2312" w:hAnsi="仿宋_GB2312" w:cs="仿宋_GB2312" w:eastAsia="仿宋_GB2312"/>
                <w:sz w:val="20"/>
                <w:color w:val="000000"/>
              </w:rPr>
              <w:t>设计方案</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本项目的</w:t>
            </w:r>
            <w:r>
              <w:rPr>
                <w:rFonts w:ascii="仿宋_GB2312" w:hAnsi="仿宋_GB2312" w:cs="仿宋_GB2312" w:eastAsia="仿宋_GB2312"/>
                <w:sz w:val="20"/>
                <w:color w:val="000000"/>
              </w:rPr>
              <w:t>设计</w:t>
            </w:r>
            <w:r>
              <w:rPr>
                <w:rFonts w:ascii="仿宋_GB2312" w:hAnsi="仿宋_GB2312" w:cs="仿宋_GB2312" w:eastAsia="仿宋_GB2312"/>
                <w:sz w:val="20"/>
                <w:color w:val="000000"/>
              </w:rPr>
              <w:t>文本说明</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）施工图设计图纸</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4）根据项目实际情况提出合理化建议；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5）项目成果资料的汇编整理及项目过程资料收集整理；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6）项目其他施工图</w:t>
            </w:r>
            <w:r>
              <w:rPr>
                <w:rFonts w:ascii="仿宋_GB2312" w:hAnsi="仿宋_GB2312" w:cs="仿宋_GB2312" w:eastAsia="仿宋_GB2312"/>
                <w:sz w:val="20"/>
                <w:color w:val="000000"/>
              </w:rPr>
              <w:t>设</w:t>
            </w:r>
            <w:r>
              <w:rPr>
                <w:rFonts w:ascii="仿宋_GB2312" w:hAnsi="仿宋_GB2312" w:cs="仿宋_GB2312" w:eastAsia="仿宋_GB2312"/>
                <w:sz w:val="20"/>
                <w:color w:val="000000"/>
              </w:rPr>
              <w:t>有关咨询的服务。</w:t>
            </w:r>
          </w:p>
          <w:p>
            <w:pPr>
              <w:pStyle w:val="null3"/>
              <w:jc w:val="both"/>
            </w:pPr>
            <w:r>
              <w:rPr>
                <w:rFonts w:ascii="仿宋_GB2312" w:hAnsi="仿宋_GB2312" w:cs="仿宋_GB2312" w:eastAsia="仿宋_GB2312"/>
                <w:sz w:val="20"/>
                <w:b/>
                <w:color w:val="000000"/>
              </w:rPr>
              <w:t>二、技术要求：</w:t>
            </w:r>
          </w:p>
          <w:p>
            <w:pPr>
              <w:pStyle w:val="null3"/>
              <w:jc w:val="both"/>
            </w:pPr>
            <w:r>
              <w:rPr>
                <w:rFonts w:ascii="仿宋_GB2312" w:hAnsi="仿宋_GB2312" w:cs="仿宋_GB2312" w:eastAsia="仿宋_GB2312"/>
                <w:sz w:val="20"/>
                <w:color w:val="000000"/>
              </w:rPr>
              <w:t>具备开展</w:t>
            </w:r>
            <w:r>
              <w:rPr>
                <w:rFonts w:ascii="仿宋_GB2312" w:hAnsi="仿宋_GB2312" w:cs="仿宋_GB2312" w:eastAsia="仿宋_GB2312"/>
                <w:sz w:val="20"/>
                <w:color w:val="000000"/>
              </w:rPr>
              <w:t>道路建设</w:t>
            </w:r>
            <w:r>
              <w:rPr>
                <w:rFonts w:ascii="仿宋_GB2312" w:hAnsi="仿宋_GB2312" w:cs="仿宋_GB2312" w:eastAsia="仿宋_GB2312"/>
                <w:sz w:val="20"/>
                <w:color w:val="000000"/>
              </w:rPr>
              <w:t>施工图</w:t>
            </w:r>
            <w:r>
              <w:rPr>
                <w:rFonts w:ascii="仿宋_GB2312" w:hAnsi="仿宋_GB2312" w:cs="仿宋_GB2312" w:eastAsia="仿宋_GB2312"/>
                <w:sz w:val="20"/>
                <w:color w:val="000000"/>
              </w:rPr>
              <w:t>设计</w:t>
            </w:r>
            <w:r>
              <w:rPr>
                <w:rFonts w:ascii="仿宋_GB2312" w:hAnsi="仿宋_GB2312" w:cs="仿宋_GB2312" w:eastAsia="仿宋_GB2312"/>
                <w:sz w:val="20"/>
                <w:color w:val="000000"/>
              </w:rPr>
              <w:t>的技术力量和经验，采取科学、严谨、针对性强的执行方案，按照国家法律法规的有关规定及操作规程做好项目施工图设计，标准符合国家有关工程建设标准强制性条文和建设部门关于</w:t>
            </w:r>
            <w:r>
              <w:rPr>
                <w:rFonts w:ascii="仿宋_GB2312" w:hAnsi="仿宋_GB2312" w:cs="仿宋_GB2312" w:eastAsia="仿宋_GB2312"/>
                <w:sz w:val="20"/>
                <w:color w:val="000000"/>
              </w:rPr>
              <w:t>道路建设</w:t>
            </w:r>
            <w:r>
              <w:rPr>
                <w:rFonts w:ascii="仿宋_GB2312" w:hAnsi="仿宋_GB2312" w:cs="仿宋_GB2312" w:eastAsia="仿宋_GB2312"/>
                <w:sz w:val="20"/>
                <w:color w:val="000000"/>
              </w:rPr>
              <w:t>工程的标准、规范、规程、定额、办法、示例以及采购人要求</w:t>
            </w:r>
            <w:r>
              <w:rPr>
                <w:rFonts w:ascii="仿宋_GB2312" w:hAnsi="仿宋_GB2312" w:cs="仿宋_GB2312" w:eastAsia="仿宋_GB2312"/>
                <w:sz w:val="20"/>
                <w:color w:val="000000"/>
              </w:rPr>
              <w:t>，技术规范包括但不限于：</w:t>
            </w:r>
          </w:p>
          <w:p>
            <w:pPr>
              <w:pStyle w:val="null3"/>
              <w:jc w:val="both"/>
            </w:pPr>
            <w:r>
              <w:rPr>
                <w:rFonts w:ascii="仿宋_GB2312" w:hAnsi="仿宋_GB2312" w:cs="仿宋_GB2312" w:eastAsia="仿宋_GB2312"/>
                <w:sz w:val="20"/>
                <w:color w:val="000000"/>
              </w:rPr>
              <w:t>（1）《市政公用工程设计文件深度规定》（2025 年版）</w:t>
            </w:r>
          </w:p>
          <w:p>
            <w:pPr>
              <w:pStyle w:val="null3"/>
            </w:pPr>
            <w:r>
              <w:rPr>
                <w:rFonts w:ascii="仿宋_GB2312" w:hAnsi="仿宋_GB2312" w:cs="仿宋_GB2312" w:eastAsia="仿宋_GB2312"/>
                <w:sz w:val="20"/>
                <w:color w:val="000000"/>
              </w:rPr>
              <w:t>（2）《城市道路交通工程项目规范》（GB55011-2021）；</w:t>
            </w:r>
          </w:p>
          <w:p>
            <w:pPr>
              <w:pStyle w:val="null3"/>
            </w:pPr>
            <w:r>
              <w:rPr>
                <w:rFonts w:ascii="仿宋_GB2312" w:hAnsi="仿宋_GB2312" w:cs="仿宋_GB2312" w:eastAsia="仿宋_GB2312"/>
                <w:sz w:val="20"/>
                <w:color w:val="000000"/>
              </w:rPr>
              <w:t>（3）《城市道路工程设计规范》（CJJ37-2012）（2016 年版）；</w:t>
            </w:r>
          </w:p>
          <w:p>
            <w:pPr>
              <w:pStyle w:val="null3"/>
            </w:pPr>
            <w:r>
              <w:rPr>
                <w:rFonts w:ascii="仿宋_GB2312" w:hAnsi="仿宋_GB2312" w:cs="仿宋_GB2312" w:eastAsia="仿宋_GB2312"/>
                <w:sz w:val="20"/>
                <w:color w:val="000000"/>
              </w:rPr>
              <w:t>（4）《城镇道路路面设计规范》（CJJ169-2012）；</w:t>
            </w:r>
          </w:p>
          <w:p>
            <w:pPr>
              <w:pStyle w:val="null3"/>
            </w:pPr>
            <w:r>
              <w:rPr>
                <w:rFonts w:ascii="仿宋_GB2312" w:hAnsi="仿宋_GB2312" w:cs="仿宋_GB2312" w:eastAsia="仿宋_GB2312"/>
                <w:sz w:val="20"/>
                <w:color w:val="000000"/>
              </w:rPr>
              <w:t>（5）《城市道路交叉口设计规程》（CJJ152-2010）</w:t>
            </w:r>
          </w:p>
          <w:p>
            <w:pPr>
              <w:pStyle w:val="null3"/>
            </w:pPr>
            <w:r>
              <w:rPr>
                <w:rFonts w:ascii="仿宋_GB2312" w:hAnsi="仿宋_GB2312" w:cs="仿宋_GB2312" w:eastAsia="仿宋_GB2312"/>
                <w:sz w:val="20"/>
                <w:color w:val="000000"/>
              </w:rPr>
              <w:t>（6）《室外排水设计标准》（GB50014-2021）；</w:t>
            </w:r>
          </w:p>
          <w:p>
            <w:pPr>
              <w:pStyle w:val="null3"/>
            </w:pPr>
            <w:r>
              <w:rPr>
                <w:rFonts w:ascii="仿宋_GB2312" w:hAnsi="仿宋_GB2312" w:cs="仿宋_GB2312" w:eastAsia="仿宋_GB2312"/>
                <w:sz w:val="20"/>
                <w:color w:val="000000"/>
              </w:rPr>
              <w:t>（7）《城市给水工程项目规范》（GB55026-2022）；</w:t>
            </w:r>
          </w:p>
          <w:p>
            <w:pPr>
              <w:pStyle w:val="null3"/>
            </w:pPr>
            <w:r>
              <w:rPr>
                <w:rFonts w:ascii="仿宋_GB2312" w:hAnsi="仿宋_GB2312" w:cs="仿宋_GB2312" w:eastAsia="仿宋_GB2312"/>
                <w:sz w:val="20"/>
                <w:color w:val="000000"/>
              </w:rPr>
              <w:t>（8）《城乡排水工程项目规范》（GB55027-2022）；</w:t>
            </w:r>
          </w:p>
          <w:p>
            <w:pPr>
              <w:pStyle w:val="null3"/>
            </w:pPr>
            <w:r>
              <w:rPr>
                <w:rFonts w:ascii="仿宋_GB2312" w:hAnsi="仿宋_GB2312" w:cs="仿宋_GB2312" w:eastAsia="仿宋_GB2312"/>
                <w:sz w:val="20"/>
                <w:color w:val="000000"/>
              </w:rPr>
              <w:t>（9）其他相关规标准。</w:t>
            </w:r>
          </w:p>
          <w:p>
            <w:pPr>
              <w:pStyle w:val="null3"/>
              <w:ind w:firstLine="200"/>
              <w:jc w:val="both"/>
            </w:pPr>
            <w:r>
              <w:rPr>
                <w:rFonts w:ascii="仿宋_GB2312" w:hAnsi="仿宋_GB2312" w:cs="仿宋_GB2312" w:eastAsia="仿宋_GB2312"/>
                <w:sz w:val="20"/>
                <w:color w:val="000000"/>
              </w:rPr>
              <w:t>凡涉及的相关规范，国家有最新标准的以最新标准为准，所有标准哪个标准高执行哪个标准。</w:t>
            </w:r>
          </w:p>
          <w:p>
            <w:pPr>
              <w:pStyle w:val="null3"/>
              <w:jc w:val="both"/>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设计原则及要求</w:t>
            </w:r>
            <w:r>
              <w:rPr>
                <w:rFonts w:ascii="仿宋_GB2312" w:hAnsi="仿宋_GB2312" w:cs="仿宋_GB2312" w:eastAsia="仿宋_GB2312"/>
                <w:sz w:val="20"/>
                <w:b/>
                <w:color w:val="000000"/>
              </w:rPr>
              <w:t>：</w:t>
            </w:r>
          </w:p>
          <w:p>
            <w:pPr>
              <w:pStyle w:val="null3"/>
              <w:jc w:val="left"/>
            </w:pPr>
            <w:r>
              <w:rPr>
                <w:rFonts w:ascii="仿宋_GB2312" w:hAnsi="仿宋_GB2312" w:cs="仿宋_GB2312" w:eastAsia="仿宋_GB2312"/>
                <w:sz w:val="20"/>
                <w:color w:val="000000"/>
              </w:rPr>
              <w:t>（一）方案设计原则</w:t>
            </w:r>
          </w:p>
          <w:p>
            <w:pPr>
              <w:pStyle w:val="null3"/>
              <w:ind w:firstLine="400"/>
              <w:jc w:val="left"/>
            </w:pPr>
            <w:r>
              <w:rPr>
                <w:rFonts w:ascii="仿宋_GB2312" w:hAnsi="仿宋_GB2312" w:cs="仿宋_GB2312" w:eastAsia="仿宋_GB2312"/>
                <w:sz w:val="20"/>
                <w:color w:val="000000"/>
              </w:rPr>
              <w:t>坚持科学合理、技术合理、经济合算、安全可靠且符合相关规范，不低于我市基础设施的平均水平，保证道路建设符合现行标准、正常投入使用。</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方案设计质量满足要求</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2）根据可研确定的设计方案及参数，进一步优化设计方案，做到既满足使用需要又节约投资</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3）采用先进、成熟、可靠、适用的工艺技术，确保工程安全可靠运行；遵循安全、环保、节能减排原则，从当地</w:t>
            </w:r>
            <w:r>
              <w:rPr>
                <w:rFonts w:ascii="仿宋_GB2312" w:hAnsi="仿宋_GB2312" w:cs="仿宋_GB2312" w:eastAsia="仿宋_GB2312"/>
                <w:sz w:val="20"/>
                <w:color w:val="000000"/>
              </w:rPr>
              <w:t>实际</w:t>
            </w:r>
            <w:r>
              <w:rPr>
                <w:rFonts w:ascii="仿宋_GB2312" w:hAnsi="仿宋_GB2312" w:cs="仿宋_GB2312" w:eastAsia="仿宋_GB2312"/>
                <w:sz w:val="20"/>
                <w:color w:val="000000"/>
              </w:rPr>
              <w:t>条件出发，优化结构并合理利用，实现高效益低成本，使其具有良好的经济效益、环境效益和社会效益，坚持可持续发展战略</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4）结合现场实际，根据</w:t>
            </w:r>
            <w:r>
              <w:rPr>
                <w:rFonts w:ascii="仿宋_GB2312" w:hAnsi="仿宋_GB2312" w:cs="仿宋_GB2312" w:eastAsia="仿宋_GB2312"/>
                <w:sz w:val="20"/>
                <w:color w:val="000000"/>
              </w:rPr>
              <w:t>地块、</w:t>
            </w:r>
            <w:r>
              <w:rPr>
                <w:rFonts w:ascii="仿宋_GB2312" w:hAnsi="仿宋_GB2312" w:cs="仿宋_GB2312" w:eastAsia="仿宋_GB2312"/>
                <w:sz w:val="20"/>
                <w:color w:val="000000"/>
              </w:rPr>
              <w:t>建筑物、围墙</w:t>
            </w:r>
            <w:r>
              <w:rPr>
                <w:rFonts w:ascii="仿宋_GB2312" w:hAnsi="仿宋_GB2312" w:cs="仿宋_GB2312" w:eastAsia="仿宋_GB2312"/>
                <w:sz w:val="20"/>
                <w:color w:val="000000"/>
              </w:rPr>
              <w:t>、</w:t>
            </w:r>
            <w:r>
              <w:rPr>
                <w:rFonts w:ascii="仿宋_GB2312" w:hAnsi="仿宋_GB2312" w:cs="仿宋_GB2312" w:eastAsia="仿宋_GB2312"/>
                <w:sz w:val="20"/>
                <w:color w:val="000000"/>
              </w:rPr>
              <w:t>树木、河流</w:t>
            </w:r>
            <w:r>
              <w:rPr>
                <w:rFonts w:ascii="仿宋_GB2312" w:hAnsi="仿宋_GB2312" w:cs="仿宋_GB2312" w:eastAsia="仿宋_GB2312"/>
                <w:sz w:val="20"/>
                <w:color w:val="000000"/>
              </w:rPr>
              <w:t>以及其他市政管道、电信电缆位置</w:t>
            </w:r>
            <w:r>
              <w:rPr>
                <w:rFonts w:ascii="仿宋_GB2312" w:hAnsi="仿宋_GB2312" w:cs="仿宋_GB2312" w:eastAsia="仿宋_GB2312"/>
                <w:sz w:val="20"/>
                <w:color w:val="000000"/>
              </w:rPr>
              <w:t>等</w:t>
            </w:r>
            <w:r>
              <w:rPr>
                <w:rFonts w:ascii="仿宋_GB2312" w:hAnsi="仿宋_GB2312" w:cs="仿宋_GB2312" w:eastAsia="仿宋_GB2312"/>
                <w:sz w:val="20"/>
                <w:color w:val="000000"/>
              </w:rPr>
              <w:t>统筹兼顾，合理布置</w:t>
            </w:r>
            <w:r>
              <w:rPr>
                <w:rFonts w:ascii="仿宋_GB2312" w:hAnsi="仿宋_GB2312" w:cs="仿宋_GB2312" w:eastAsia="仿宋_GB2312"/>
                <w:sz w:val="20"/>
                <w:color w:val="000000"/>
              </w:rPr>
              <w:t>道路</w:t>
            </w:r>
            <w:r>
              <w:rPr>
                <w:rFonts w:ascii="仿宋_GB2312" w:hAnsi="仿宋_GB2312" w:cs="仿宋_GB2312" w:eastAsia="仿宋_GB2312"/>
                <w:sz w:val="20"/>
                <w:color w:val="000000"/>
              </w:rPr>
              <w:t>位置</w:t>
            </w:r>
            <w:r>
              <w:rPr>
                <w:rFonts w:ascii="仿宋_GB2312" w:hAnsi="仿宋_GB2312" w:cs="仿宋_GB2312" w:eastAsia="仿宋_GB2312"/>
                <w:sz w:val="20"/>
                <w:color w:val="000000"/>
              </w:rPr>
              <w:t>及走向。</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5）实事求是，尊重科学，在保证工程质量的前提下，</w:t>
            </w:r>
            <w:r>
              <w:rPr>
                <w:rFonts w:ascii="仿宋_GB2312" w:hAnsi="仿宋_GB2312" w:cs="仿宋_GB2312" w:eastAsia="仿宋_GB2312"/>
                <w:sz w:val="20"/>
                <w:color w:val="000000"/>
              </w:rPr>
              <w:t>建设</w:t>
            </w:r>
            <w:r>
              <w:rPr>
                <w:rFonts w:ascii="仿宋_GB2312" w:hAnsi="仿宋_GB2312" w:cs="仿宋_GB2312" w:eastAsia="仿宋_GB2312"/>
                <w:sz w:val="20"/>
                <w:color w:val="000000"/>
              </w:rPr>
              <w:t>中应合理采用安全、可靠、节能的新技术、新工艺、新材料，避免使用淘汰或落后的技术及产品，努力提升工程的管理效率和环保效益，降低投资，保证与日益发展的现代化城市要求相匹配实现渠道改造与科技进步相结合。坚持高起点、高标准、超前规划的指导思想，充分考虑高速度发展的特征，为城市发展预留适当的市政容量。</w:t>
            </w:r>
          </w:p>
          <w:p>
            <w:pPr>
              <w:pStyle w:val="null3"/>
              <w:ind w:firstLine="200"/>
              <w:jc w:val="left"/>
            </w:pPr>
            <w:r>
              <w:rPr>
                <w:rFonts w:ascii="仿宋_GB2312" w:hAnsi="仿宋_GB2312" w:cs="仿宋_GB2312" w:eastAsia="仿宋_GB2312"/>
                <w:sz w:val="20"/>
                <w:color w:val="000000"/>
              </w:rPr>
              <w:t>(二)方案设计要求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1）技术要求：服务成果应保证合法、真实、有效，各项数据来源均为官方渠道，方案设计完整全面、科学合理、可行性强；成果如有不完善，应无条件配合补充至达到采购人要求。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方案成果符合要求，在规定的工作天数内完成方案设计后向采购人申请方案汇报；方案汇报要求主创方案设计师或者设计负责人进行总体及专项汇报，汇报以PPT、音频文件、动画等图文并茂形式进行；汇报后，根据采购人及评审专家的意见进行方案调整、修改。</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3）方案修改、调整定稿后，根据采购人要求提交正式项目方案设计文本，各个阶段的方案汇报，如有待沟通的问题，及时与建设单位进行沟通，协调解决。</w:t>
            </w:r>
          </w:p>
          <w:p>
            <w:pPr>
              <w:pStyle w:val="null3"/>
              <w:jc w:val="both"/>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进度要求：</w:t>
            </w:r>
            <w:r>
              <w:rPr>
                <w:rFonts w:ascii="仿宋_GB2312" w:hAnsi="仿宋_GB2312" w:cs="仿宋_GB2312" w:eastAsia="仿宋_GB2312"/>
                <w:sz w:val="20"/>
                <w:color w:val="000000"/>
              </w:rPr>
              <w:t>通过采取组织、技术、经济</w:t>
            </w:r>
            <w:r>
              <w:rPr>
                <w:rFonts w:ascii="仿宋_GB2312" w:hAnsi="仿宋_GB2312" w:cs="仿宋_GB2312" w:eastAsia="仿宋_GB2312"/>
                <w:sz w:val="20"/>
                <w:color w:val="000000"/>
              </w:rPr>
              <w:t>等</w:t>
            </w:r>
            <w:r>
              <w:rPr>
                <w:rFonts w:ascii="仿宋_GB2312" w:hAnsi="仿宋_GB2312" w:cs="仿宋_GB2312" w:eastAsia="仿宋_GB2312"/>
                <w:sz w:val="20"/>
                <w:color w:val="000000"/>
              </w:rPr>
              <w:t>控制措施将项目实施进度控制在采购人所要求的合理时间节点内。</w:t>
            </w:r>
          </w:p>
          <w:p>
            <w:pPr>
              <w:pStyle w:val="null3"/>
              <w:jc w:val="left"/>
            </w:pP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服务</w:t>
            </w:r>
            <w:r>
              <w:rPr>
                <w:rFonts w:ascii="仿宋_GB2312" w:hAnsi="仿宋_GB2312" w:cs="仿宋_GB2312" w:eastAsia="仿宋_GB2312"/>
                <w:sz w:val="20"/>
                <w:b/>
                <w:color w:val="000000"/>
              </w:rPr>
              <w:t>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1）服务方须指派专属人员与采购人联系服务事宜，服务响应时间应根据采购人实际安排随时调整。</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2）服务方需根据服务实际情况编制服务方案、管理方案、服务计划、</w:t>
            </w:r>
            <w:r>
              <w:rPr>
                <w:rFonts w:ascii="仿宋_GB2312" w:hAnsi="仿宋_GB2312" w:cs="仿宋_GB2312" w:eastAsia="仿宋_GB2312"/>
                <w:sz w:val="20"/>
                <w:color w:val="000000"/>
              </w:rPr>
              <w:t>重点难点分析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质量控制、后续服务</w:t>
            </w:r>
            <w:r>
              <w:rPr>
                <w:rFonts w:ascii="仿宋_GB2312" w:hAnsi="仿宋_GB2312" w:cs="仿宋_GB2312" w:eastAsia="仿宋_GB2312"/>
                <w:sz w:val="20"/>
                <w:color w:val="000000"/>
              </w:rPr>
              <w:t>等方案措施。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）服务过程中，严格遵守各种管理规定及规章制度，做到奉公守法、诚实守信、廉洁自律、安全文明；服务过程中如发生工伤及意外事故由服务单位负责。</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）严格按照国家、陕西省、西安市有关规定及采购人要求进行服务，不得随意更改或者变换服务内容，每项服务内容实施前应事先取得采购人的落实后方可实施</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）配合促进采购人安排的其他相关工作</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六、成果要求：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成果内容应完整真实、科学严谨、思路清晰、具有代表性，综合考虑道路建设</w:t>
            </w:r>
            <w:r>
              <w:rPr>
                <w:rFonts w:ascii="仿宋_GB2312" w:hAnsi="仿宋_GB2312" w:cs="仿宋_GB2312" w:eastAsia="仿宋_GB2312"/>
                <w:sz w:val="20"/>
                <w:color w:val="000000"/>
              </w:rPr>
              <w:t>的</w:t>
            </w:r>
            <w:r>
              <w:rPr>
                <w:rFonts w:ascii="仿宋_GB2312" w:hAnsi="仿宋_GB2312" w:cs="仿宋_GB2312" w:eastAsia="仿宋_GB2312"/>
                <w:sz w:val="20"/>
                <w:color w:val="000000"/>
              </w:rPr>
              <w:t>功能和潜力，提出</w:t>
            </w:r>
            <w:r>
              <w:rPr>
                <w:rFonts w:ascii="仿宋_GB2312" w:hAnsi="仿宋_GB2312" w:cs="仿宋_GB2312" w:eastAsia="仿宋_GB2312"/>
                <w:sz w:val="20"/>
                <w:color w:val="000000"/>
              </w:rPr>
              <w:t>建设</w:t>
            </w:r>
            <w:r>
              <w:rPr>
                <w:rFonts w:ascii="仿宋_GB2312" w:hAnsi="仿宋_GB2312" w:cs="仿宋_GB2312" w:eastAsia="仿宋_GB2312"/>
                <w:sz w:val="20"/>
                <w:color w:val="000000"/>
              </w:rPr>
              <w:t>实施详细规划</w:t>
            </w:r>
            <w:r>
              <w:rPr>
                <w:rFonts w:ascii="仿宋_GB2312" w:hAnsi="仿宋_GB2312" w:cs="仿宋_GB2312" w:eastAsia="仿宋_GB2312"/>
                <w:sz w:val="20"/>
                <w:color w:val="000000"/>
              </w:rPr>
              <w:t>和可行性</w:t>
            </w:r>
            <w:r>
              <w:rPr>
                <w:rFonts w:ascii="仿宋_GB2312" w:hAnsi="仿宋_GB2312" w:cs="仿宋_GB2312" w:eastAsia="仿宋_GB2312"/>
                <w:sz w:val="20"/>
                <w:color w:val="000000"/>
              </w:rPr>
              <w:t>优化方案</w:t>
            </w:r>
            <w:r>
              <w:rPr>
                <w:rFonts w:ascii="仿宋_GB2312" w:hAnsi="仿宋_GB2312" w:cs="仿宋_GB2312" w:eastAsia="仿宋_GB2312"/>
                <w:sz w:val="20"/>
                <w:color w:val="000000"/>
              </w:rPr>
              <w:t>，</w:t>
            </w:r>
            <w:r>
              <w:rPr>
                <w:rFonts w:ascii="仿宋_GB2312" w:hAnsi="仿宋_GB2312" w:cs="仿宋_GB2312" w:eastAsia="仿宋_GB2312"/>
                <w:sz w:val="20"/>
                <w:color w:val="000000"/>
              </w:rPr>
              <w:t>符合新形势、新变化、</w:t>
            </w:r>
            <w:r>
              <w:rPr>
                <w:rFonts w:ascii="仿宋_GB2312" w:hAnsi="仿宋_GB2312" w:cs="仿宋_GB2312" w:eastAsia="仿宋_GB2312"/>
                <w:sz w:val="20"/>
                <w:color w:val="000000"/>
              </w:rPr>
              <w:t>新</w:t>
            </w:r>
            <w:r>
              <w:rPr>
                <w:rFonts w:ascii="仿宋_GB2312" w:hAnsi="仿宋_GB2312" w:cs="仿宋_GB2312" w:eastAsia="仿宋_GB2312"/>
                <w:sz w:val="20"/>
                <w:color w:val="000000"/>
              </w:rPr>
              <w:t>发展下道路建设</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成果内容包含但不限于：</w:t>
            </w:r>
            <w:r>
              <w:rPr>
                <w:rFonts w:ascii="仿宋_GB2312" w:hAnsi="仿宋_GB2312" w:cs="仿宋_GB2312" w:eastAsia="仿宋_GB2312"/>
                <w:sz w:val="20"/>
                <w:color w:val="000000"/>
              </w:rPr>
              <w:t>①施工图阶段：图纸目录、施工图设计总说明、材料用量统计表、总平面索引图、施工尺寸放线图、植物种植图、节点及关键部位施工详图等。②</w:t>
            </w:r>
            <w:r>
              <w:rPr>
                <w:rFonts w:ascii="仿宋_GB2312" w:hAnsi="仿宋_GB2312" w:cs="仿宋_GB2312" w:eastAsia="仿宋_GB2312"/>
                <w:sz w:val="20"/>
                <w:color w:val="000000"/>
              </w:rPr>
              <w:t>所有设计成果</w:t>
            </w:r>
            <w:r>
              <w:rPr>
                <w:rFonts w:ascii="仿宋_GB2312" w:hAnsi="仿宋_GB2312" w:cs="仿宋_GB2312" w:eastAsia="仿宋_GB2312"/>
                <w:sz w:val="20"/>
                <w:color w:val="000000"/>
              </w:rPr>
              <w:t>初稿</w:t>
            </w:r>
            <w:r>
              <w:rPr>
                <w:rFonts w:ascii="仿宋_GB2312" w:hAnsi="仿宋_GB2312" w:cs="仿宋_GB2312" w:eastAsia="仿宋_GB2312"/>
                <w:sz w:val="20"/>
                <w:color w:val="000000"/>
              </w:rPr>
              <w:t>完成</w:t>
            </w:r>
            <w:r>
              <w:rPr>
                <w:rFonts w:ascii="仿宋_GB2312" w:hAnsi="仿宋_GB2312" w:cs="仿宋_GB2312" w:eastAsia="仿宋_GB2312"/>
                <w:sz w:val="20"/>
                <w:color w:val="000000"/>
              </w:rPr>
              <w:t>后应按</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提出的审查意见和修改意见进行修改，直至获得有关主管部门审批通过</w:t>
            </w:r>
            <w:r>
              <w:rPr>
                <w:rFonts w:ascii="仿宋_GB2312" w:hAnsi="仿宋_GB2312" w:cs="仿宋_GB2312" w:eastAsia="仿宋_GB2312"/>
                <w:sz w:val="20"/>
                <w:color w:val="000000"/>
              </w:rPr>
              <w:t>，</w:t>
            </w:r>
            <w:r>
              <w:rPr>
                <w:rFonts w:ascii="仿宋_GB2312" w:hAnsi="仿宋_GB2312" w:cs="仿宋_GB2312" w:eastAsia="仿宋_GB2312"/>
                <w:sz w:val="20"/>
                <w:color w:val="000000"/>
              </w:rPr>
              <w:t>本项目所完成的编制成果的所有权、知识产权归</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）所有提供资料包括：</w:t>
            </w:r>
            <w:r>
              <w:rPr>
                <w:rFonts w:ascii="仿宋_GB2312" w:hAnsi="仿宋_GB2312" w:cs="仿宋_GB2312" w:eastAsia="仿宋_GB2312"/>
                <w:sz w:val="20"/>
                <w:color w:val="000000"/>
              </w:rPr>
              <w:t>①纸质成果印刷装订，一式</w:t>
            </w:r>
            <w:r>
              <w:rPr>
                <w:rFonts w:ascii="仿宋_GB2312" w:hAnsi="仿宋_GB2312" w:cs="仿宋_GB2312" w:eastAsia="仿宋_GB2312"/>
                <w:sz w:val="20"/>
                <w:color w:val="000000"/>
              </w:rPr>
              <w:t>四</w:t>
            </w:r>
            <w:r>
              <w:rPr>
                <w:rFonts w:ascii="仿宋_GB2312" w:hAnsi="仿宋_GB2312" w:cs="仿宋_GB2312" w:eastAsia="仿宋_GB2312"/>
                <w:sz w:val="20"/>
                <w:color w:val="000000"/>
              </w:rPr>
              <w:t>份；</w:t>
            </w:r>
            <w:r>
              <w:rPr>
                <w:rFonts w:ascii="仿宋_GB2312" w:hAnsi="仿宋_GB2312" w:cs="仿宋_GB2312" w:eastAsia="仿宋_GB2312"/>
                <w:sz w:val="20"/>
                <w:color w:val="000000"/>
              </w:rPr>
              <w:t>②电子成果为与纸质成果相对应的电子文档（pdf格式）。</w:t>
            </w:r>
          </w:p>
          <w:p>
            <w:pPr>
              <w:pStyle w:val="null3"/>
              <w:jc w:val="left"/>
            </w:pPr>
            <w:r>
              <w:rPr>
                <w:rFonts w:ascii="仿宋_GB2312" w:hAnsi="仿宋_GB2312" w:cs="仿宋_GB2312" w:eastAsia="仿宋_GB2312"/>
                <w:sz w:val="20"/>
                <w:b/>
                <w:color w:val="000000"/>
              </w:rPr>
              <w:t>七、服务标准：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服务方未经采购人同意，不得擅自更换本项目在响应文件中指定的服务队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服务方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是供应商响应磋商项目要求的全部工作内容的价格体现，包括供应商完成本项目所需的直接费用、间接费、利润、税金及其它相关的一切费用，包括但不限于：初步设计(代可研)费、人工费、设备使用费、资料费、管理费、评审费、利润、税金及不可预见费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按总价进行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初步设计(代可研)批复后30日历天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合同签订生效，服务方开始服务，待拿到初步设计(代可研)批复后，服务方开具等额发票交于采购人后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合同签订后，服务方提供经专家、采购人评审后的施工图设计成果，服务方开具相应金额的发票交于采购人后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工程竣工验收完成，服务方开具相应金额的发票交于采购人后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(一)依据《中华人民共和国民法典》中的相关条款执行。 (二)其他具体详见拟签订采购合同相关条款。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(一)依据《中华人民共和国民法典》中的相关条款执行。 (二)其他具体详见拟签订采购合同相关条款。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(四)文件中签名是指：手写签名或加盖签名章（含电子章、印章、签名章），盖章是指加盖单位章（含电子章）。 (五)资格性、符合性审查完成后，最终有效报价的供应商如出现异常低价，执行财库〔2026〕2号《关于推动解决政府采购异常低价问题的通知》，磋商小组可在最后报价审查表中审核是否通过审查。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外)设计乙级及以上资质或市政行业(道路工程)专业乙级及以上资质；且通过“全国投资项目在线审批监管平台”(http://www.tzxm.gov.cn)的工程咨询机构(专业含市政公用工程)备案(截图)。(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需具有在本单位登记的咨询工程师(投资)资格证书(市政专业)或注册土木工程师（道路工程）执业资格(在本单位注册)。(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基本信息(设计资质)及项目负责人的基本信息(注册资格证书)在“陕西省住房和城乡建设厅”(http://js.shaanxi.gov.cn/)或“陕西政务服务网”(https://zwfw.shaanxi.gov.cn/sx/public/index)可查询且无不良行为记录并在各级建设诚信信息平台未被列为投标受限制的行为人或被列为严重违法失信企业名单(承诺)。(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设计乙级及以上资质或市政行业(道路工程)专业乙级及以上资质。(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供应商拟派项目负责人须具备注册土木工程师（道路工程）执业资格(在本单位注册)。(根据“资格证明文件”中提供的要求和说明，提供符合条件的证明材料)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基本信息及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承诺)。(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根据对项目理解情况中①编制范围、②编制要求、③编制依据、④建设目标等方案措施的响应程度。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根据对项目的①重点、难点分析和②问题解决对策方案措施的响应程度。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根据对实施方案中①实施计划、②实施方法、③进度保障、④成果审核等方案措施的响应程度。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根据对管理方案中①管理制度、②职责及分工、③工作规范等方案措施的响应程度。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根据对服务质量中①质量管理和②质量保证等方案措施的响应程度。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w:t>
            </w:r>
          </w:p>
        </w:tc>
        <w:tc>
          <w:tcPr>
            <w:tcW w:type="dxa" w:w="2492"/>
          </w:tcPr>
          <w:p>
            <w:pPr>
              <w:pStyle w:val="null3"/>
            </w:pPr>
            <w:r>
              <w:rPr>
                <w:rFonts w:ascii="仿宋_GB2312" w:hAnsi="仿宋_GB2312" w:cs="仿宋_GB2312" w:eastAsia="仿宋_GB2312"/>
              </w:rPr>
              <w:t>根据对服务过程中①造价控制措施、②有利于采购人的合理化建议、③廉洁、保密等方案措施的响应程度。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①项目组成员配备≥4人，且包含不少于1名市政道路工程相关专业高级工程师或注册土木工程师资格证书的得3分，不满足不得分。 ②项目组成员中具有咨询工程师(投资)执业资格(市政专业)人员的得3分，不满足不得分。 说明：项目组成人员不含项目负责人，成员配备＜4人不得分，需提供相关人员的职称证、注册证、资质证书等任意形式的证明材料。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供应商具有2023年1月1日起至今类似项目业绩，每提供1个业绩得2分，最多得10分。 (注：业绩以合同扫描件(复印)件为依据,“合同主要内容”“签字盖章”“签订日期”等相关信息应在合同中有体现，无法直接体现的可进行佐证材料补充。)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评审价为磋商基准价，其磋商报价为满分。其他供应商的价格分，统一按照下列公式计算：磋商报价得分=(磋商基准价／磋商评审价)×30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 (1)承接本项目的供应商为符合政策要求的小微企业时，给予10%的价格扣除，即：评审价=最后报价×（1-10%）;监狱企业与残疾人福利性单位视同小型、微型企业，享受同等价格扣除，当企业属性重复时，不重复价格扣除。 （2）供应商提供的《中小企业声明函》或者《残疾人福利性单位声明函》或者监狱企业证明中存在明显错误的，磋商小组可以按照采购文件中相关条款的规定，要求供应商作出澄清；经澄清后，仍不符合小微企业条件的，则视为不符合小微企业情形。</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根据对项目理解情况的①设计范围、②设计要求、③设计依据、④设计目标等方案措施的响应程度。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根据对项目的①重点、难点分析和②问题解决对策方案措施的响应程度。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根据对实施方案的①设计思路、②工作方法、③进度保障、④成果审核等方案措施的响应程度。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根据对管理方案中①管理制度、②职责及分工、③工作规范等方案措施的响应程度。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根据对服务质量中①质量管理和②质量保证等方案措施的响应程度。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w:t>
            </w:r>
          </w:p>
        </w:tc>
        <w:tc>
          <w:tcPr>
            <w:tcW w:type="dxa" w:w="2492"/>
          </w:tcPr>
          <w:p>
            <w:pPr>
              <w:pStyle w:val="null3"/>
            </w:pPr>
            <w:r>
              <w:rPr>
                <w:rFonts w:ascii="仿宋_GB2312" w:hAnsi="仿宋_GB2312" w:cs="仿宋_GB2312" w:eastAsia="仿宋_GB2312"/>
              </w:rPr>
              <w:t>根据对服务过程中①造价控制措施、②有利于采购人的合理化建议、③廉洁、保密等方案措施的响应程度。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①项目组成员配备≥6人，且包含不少于2名道路工程相关专业高级工程师，满足的得2分，不满足不得分。 ②项目组成员中具有本工程相关专业（土木、道路、给水排水、绿化等任意专业）注册执业资格的，每有 1 名的得 2分，最高得 4分。(此项每人只计一次分) 说明：项目组成人员不含项目负责人，成员配备＜6人不得分，需提供相关人员的职称证、注册证、资质证书等任意形式的证明材料。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供应商具有2023年1月1日起至今类似项目业绩，每提供1个业绩得2分，最多得10分。 (注：业绩以合同扫描件(复印)件为依据,“合同主要内容”“签字盖章”“签订日期”等相关信息应在合同中有体现，无法直接体现的可进行佐证材料补充。)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评审价为磋商基准价，其磋商报价为满分。其他供应商的价格分，统一按照下列公式计算：磋商报价得分=(磋商基准价／磋商评审价)×30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 (1)承接本项目的供应商为符合政策要求的小微企业时，给予10%的价格扣除，即：评审价=最后报价×（1-10%）;监狱企业与残疾人福利性单位视同小型、微型企业，享受同等价格扣除，当企业属性重复时，不重复价格扣除。 （2）供应商提供的《中小企业声明函》或者《残疾人福利性单位声明函》或者监狱企业证明中存在明显错误的，磋商小组可以按照采购文件中相关条款的规定，要求供应商作出澄清；经澄清后，仍不符合小微企业条件的，则视为不符合小微企业情形。</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