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版本号：JXYFS-2026-01020260423001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御井路东侧规划路城市断头路打通工程施工图设计、初步设计（代可研）</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JXYFS-2026-010</w:t>
      </w:r>
      <w:r>
        <w:br/>
      </w:r>
      <w:r>
        <w:br/>
      </w:r>
      <w:r>
        <w:br/>
      </w:r>
    </w:p>
    <w:p>
      <w:pPr>
        <w:pStyle w:val="null3"/>
        <w:jc w:val="center"/>
        <w:outlineLvl w:val="2"/>
      </w:pPr>
      <w:r>
        <w:rPr>
          <w:rFonts w:ascii="仿宋_GB2312" w:hAnsi="仿宋_GB2312" w:cs="仿宋_GB2312" w:eastAsia="仿宋_GB2312"/>
          <w:sz w:val="28"/>
          <w:b/>
        </w:rPr>
        <w:t>西安市未央区住房和城市建设局</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西安市未央区住房和城市建设局</w:t>
      </w:r>
      <w:r>
        <w:rPr>
          <w:rFonts w:ascii="仿宋_GB2312" w:hAnsi="仿宋_GB2312" w:cs="仿宋_GB2312" w:eastAsia="仿宋_GB2312"/>
        </w:rPr>
        <w:t>委托，拟对</w:t>
      </w:r>
      <w:r>
        <w:rPr>
          <w:rFonts w:ascii="仿宋_GB2312" w:hAnsi="仿宋_GB2312" w:cs="仿宋_GB2312" w:eastAsia="仿宋_GB2312"/>
        </w:rPr>
        <w:t>御井路东侧规划路城市断头路打通工程施工图设计、初步设计（代可研）</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JXYFS-2026-010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御井路东侧规划路城市断头路打通工程施工图设计、初步设计（代可研）</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本项目位于西安市未央区团结片区内，是区内一条南北向支路，本次设计路段南起永固路，北至永信路，全长 384.333m，道路规划红线宽度 20m，设计速度30km/h。路沿线与永固路（规划路、红线宽度 20m）、永信路南侧规划路（同步设计，红线宽度 15m）、永信路（现状路、红线宽度 30m）相交；质量要求：满足各专业主要标准规范，能通过专家论证。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1、企业资质要求：供应商需具有工程设计综合资质甲级或市政行业工程设计乙级及以上资质或市政行业(燃气、轨道交通工程除外)设计乙级及以上资质或市政行业(道路工程)专业乙级及以上 资质；且通过“全国投资项目在线审批监管平台”(http://www.tzxm.gov.cn)的工程咨询机构(专业含市政公用工程)备案(截图)；</w:t>
      </w:r>
    </w:p>
    <w:p>
      <w:pPr>
        <w:pStyle w:val="null3"/>
      </w:pPr>
      <w:r>
        <w:rPr>
          <w:rFonts w:ascii="仿宋_GB2312" w:hAnsi="仿宋_GB2312" w:cs="仿宋_GB2312" w:eastAsia="仿宋_GB2312"/>
        </w:rPr>
        <w:t>2、拟派项目负责人：供应商拟派项目负责人需具有在本单位登记的咨询工程师资格证书或市政相关专业高级工程师(在本单位注册)</w:t>
      </w:r>
    </w:p>
    <w:p>
      <w:pPr>
        <w:pStyle w:val="null3"/>
      </w:pPr>
      <w:r>
        <w:rPr>
          <w:rFonts w:ascii="仿宋_GB2312" w:hAnsi="仿宋_GB2312" w:cs="仿宋_GB2312" w:eastAsia="仿宋_GB2312"/>
        </w:rPr>
        <w:t>3、信誉要求：供应商基本信息(设计资质)及项目负责人的基本信息在“陕西省住房和城乡建设厅”(http://js.shaanxi.gov.cn/)或“陕西政务服务网”(https://zwfw.shaanxi.gov.cn/sx/public/index)可查询且无不良行为记录并在各级建设诚信信息平台未被列为投标受限制的行为人或被列为严重违法失信企业名单(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1、企业资质要求：供应商需具有工程设计综合资质甲级或市政行业工程设计乙级及以上资质或市政行业(燃气、轨道交通工程除)设计乙级及以上资质或市政行(道路工程)专业乙级及以上资质；</w:t>
      </w:r>
    </w:p>
    <w:p>
      <w:pPr>
        <w:pStyle w:val="null3"/>
      </w:pPr>
      <w:r>
        <w:rPr>
          <w:rFonts w:ascii="仿宋_GB2312" w:hAnsi="仿宋_GB2312" w:cs="仿宋_GB2312" w:eastAsia="仿宋_GB2312"/>
        </w:rPr>
        <w:t>2、拟派项目负责人：供应商拟派项目负责人须具备市政相关专业高级工程师执业资格(在本单位注册)；</w:t>
      </w:r>
    </w:p>
    <w:p>
      <w:pPr>
        <w:pStyle w:val="null3"/>
      </w:pPr>
      <w:r>
        <w:rPr>
          <w:rFonts w:ascii="仿宋_GB2312" w:hAnsi="仿宋_GB2312" w:cs="仿宋_GB2312" w:eastAsia="仿宋_GB2312"/>
        </w:rPr>
        <w:t>3、信誉要求：供应商无不良行为记录并在各级建设诚信信息平台未被列为投标受限制的行为人或被列为严重违法失信企业名单(承诺)。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未央区永祥路9号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吴晓娜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029-86249090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西安市曲江新区雁南五路曲江影视大厦19楼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15399315150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采购包1：153,464.00元</w:t>
            </w:r>
          </w:p>
          <w:p>
            <w:pPr>
              <w:pStyle w:val="null3"/>
            </w:pPr>
            <w:r>
              <w:rPr>
                <w:rFonts w:ascii="仿宋_GB2312" w:hAnsi="仿宋_GB2312" w:cs="仿宋_GB2312" w:eastAsia="仿宋_GB2312"/>
              </w:rPr>
              <w:t>采购包2：155,520.00元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代理服务费收费标准：采购包1：本项目收取代理服务费 代理服务费用收取对象：中标/成交供应商 代理服务费收费标准：包干价4000.00元整 采购包2：本项目收取代理服务费 代理服务费用收取对象：中标/成交供应商 代理服务费收费标准：包干价4000.00元整 代理服务费缴纳账户： 开户名称：嘉翔项目管理有限公司 开 户 行：中国农业银行股份有限公司西安科技二路支行 账 号：26127101040017190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西安市未央区住房和城市建设局</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按拟签订采购合同相关条款执行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按拟签订采购合同相关条款执行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联系人：王勇</w:t>
      </w:r>
    </w:p>
    <w:p>
      <w:pPr>
        <w:pStyle w:val="null3"/>
      </w:pPr>
      <w:r>
        <w:rPr>
          <w:rFonts w:ascii="仿宋_GB2312" w:hAnsi="仿宋_GB2312" w:cs="仿宋_GB2312" w:eastAsia="仿宋_GB2312"/>
        </w:rPr>
        <w:t>联系电话：15399315150</w:t>
      </w:r>
    </w:p>
    <w:p>
      <w:pPr>
        <w:pStyle w:val="null3"/>
      </w:pPr>
      <w:r>
        <w:rPr>
          <w:rFonts w:ascii="仿宋_GB2312" w:hAnsi="仿宋_GB2312" w:cs="仿宋_GB2312" w:eastAsia="仿宋_GB2312"/>
        </w:rPr>
        <w:t>地址：西安市曲江新区雁南五路曲江影视大厦19楼</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本项目位于西安市未央区团结片区内，是区内一条南北向支路，本次设计路段南起永固路，北至永信路，全长 384.333m，道路规划红线宽度 20m，设计速度30km/h。路沿线与永固路（规划路、红线宽度 20m）、永信路南侧规划路（同步设计，红线宽度 15m）、永信路（现状路、红线宽度 30m）相交。完成御井路东侧规划路城市断头路打通工程施工图设计、初步设计（代可研）报告；质量要求：满足各专业主要标准规范，能通过专家论证。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153,464.00</w:t>
      </w:r>
    </w:p>
    <w:p>
      <w:pPr>
        <w:pStyle w:val="null3"/>
      </w:pPr>
      <w:r>
        <w:rPr>
          <w:rFonts w:ascii="仿宋_GB2312" w:hAnsi="仿宋_GB2312" w:cs="仿宋_GB2312" w:eastAsia="仿宋_GB2312"/>
        </w:rPr>
        <w:t>采购包最高限价（元）: 153,464.00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御井路东侧规划路城市断头路打通工程初步设计（代可研）</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153,464.00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155,520.00</w:t>
      </w:r>
    </w:p>
    <w:p>
      <w:pPr>
        <w:pStyle w:val="null3"/>
      </w:pPr>
      <w:r>
        <w:rPr>
          <w:rFonts w:ascii="仿宋_GB2312" w:hAnsi="仿宋_GB2312" w:cs="仿宋_GB2312" w:eastAsia="仿宋_GB2312"/>
        </w:rPr>
        <w:t>采购包最高限价（元）: 155,520.00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御井路东侧规划路城市断头路打通工程施工图设计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155,520.00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标的名称：御井路东侧规划路城市断头路打通工程初步设计（代可研）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105"/>
            </w:pPr>
            <w:r>
              <w:rPr>
                <w:rFonts w:ascii="仿宋_GB2312" w:hAnsi="仿宋_GB2312" w:cs="仿宋_GB2312" w:eastAsia="仿宋_GB2312"/>
                <w:sz w:val="21"/>
                <w:b/>
                <w:color w:val="000000"/>
              </w:rPr>
              <w:t>一、基本要求</w:t>
            </w:r>
          </w:p>
          <w:p>
            <w:pPr>
              <w:pStyle w:val="null3"/>
            </w:pPr>
            <w:r>
              <w:rPr>
                <w:rFonts w:ascii="仿宋_GB2312" w:hAnsi="仿宋_GB2312" w:cs="仿宋_GB2312" w:eastAsia="仿宋_GB2312"/>
                <w:sz w:val="21"/>
                <w:color w:val="000000"/>
              </w:rPr>
              <w:t>1.功能要求：市政道路设计代可行性研究</w:t>
            </w:r>
          </w:p>
          <w:p>
            <w:pPr>
              <w:pStyle w:val="null3"/>
            </w:pPr>
            <w:r>
              <w:rPr>
                <w:rFonts w:ascii="仿宋_GB2312" w:hAnsi="仿宋_GB2312" w:cs="仿宋_GB2312" w:eastAsia="仿宋_GB2312"/>
                <w:sz w:val="21"/>
                <w:color w:val="000000"/>
              </w:rPr>
              <w:t>2.服务期限：30日历天</w:t>
            </w:r>
          </w:p>
          <w:p>
            <w:pPr>
              <w:pStyle w:val="null3"/>
            </w:pPr>
            <w:r>
              <w:rPr>
                <w:rFonts w:ascii="仿宋_GB2312" w:hAnsi="仿宋_GB2312" w:cs="仿宋_GB2312" w:eastAsia="仿宋_GB2312"/>
                <w:sz w:val="21"/>
                <w:color w:val="000000"/>
              </w:rPr>
              <w:t>3.服务地点：西安市未央区；</w:t>
            </w:r>
          </w:p>
          <w:p>
            <w:pPr>
              <w:pStyle w:val="null3"/>
            </w:pPr>
            <w:r>
              <w:rPr>
                <w:rFonts w:ascii="仿宋_GB2312" w:hAnsi="仿宋_GB2312" w:cs="仿宋_GB2312" w:eastAsia="仿宋_GB2312"/>
                <w:sz w:val="21"/>
                <w:color w:val="000000"/>
              </w:rPr>
              <w:t>4.质量标准：满足各专业主要标准规范，能通过专家论证。</w:t>
            </w:r>
          </w:p>
          <w:p>
            <w:pPr>
              <w:pStyle w:val="null3"/>
            </w:pPr>
            <w:r>
              <w:rPr>
                <w:rFonts w:ascii="仿宋_GB2312" w:hAnsi="仿宋_GB2312" w:cs="仿宋_GB2312" w:eastAsia="仿宋_GB2312"/>
                <w:sz w:val="21"/>
                <w:b/>
                <w:color w:val="000000"/>
              </w:rPr>
              <w:t>二、需执行的国家相关标准、行业标准、地方标准或者其他标准、规范标准</w:t>
            </w:r>
          </w:p>
          <w:p>
            <w:pPr>
              <w:pStyle w:val="null3"/>
            </w:pPr>
            <w:r>
              <w:rPr>
                <w:rFonts w:ascii="仿宋_GB2312" w:hAnsi="仿宋_GB2312" w:cs="仿宋_GB2312" w:eastAsia="仿宋_GB2312"/>
                <w:sz w:val="21"/>
                <w:color w:val="000000"/>
              </w:rPr>
              <w:t>1.《关于投资项目可行性研究报告编写大纲的说明》（2023 年版）</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.《市政公用工程设计文件深度规定》（2025 年版）</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.《城市道路交通工程项目规范》（GB55011-2021）；</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.《城市道路工程设计规范》（CJJ37-2012）（2016 年版）；</w:t>
            </w:r>
          </w:p>
          <w:p>
            <w:pPr>
              <w:pStyle w:val="null3"/>
            </w:pPr>
            <w:r>
              <w:rPr>
                <w:rFonts w:ascii="仿宋_GB2312" w:hAnsi="仿宋_GB2312" w:cs="仿宋_GB2312" w:eastAsia="仿宋_GB2312"/>
                <w:sz w:val="21"/>
                <w:color w:val="000000"/>
              </w:rPr>
              <w:t>6《城镇道路路面设计规范》（CJJ169-2012）；</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.《城市道路交叉口设计规程》（CJJ152-2010）</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《室外排水设计标准》（</w:t>
            </w:r>
            <w:r>
              <w:rPr>
                <w:rFonts w:ascii="仿宋_GB2312" w:hAnsi="仿宋_GB2312" w:cs="仿宋_GB2312" w:eastAsia="仿宋_GB2312"/>
                <w:sz w:val="21"/>
                <w:color w:val="000000"/>
              </w:rPr>
              <w:t>GB50014-2021）；</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.《城市给水工程项目规范》（GB55026-2022）；</w:t>
            </w:r>
          </w:p>
          <w:p>
            <w:pPr>
              <w:pStyle w:val="null3"/>
            </w:pPr>
            <w:r>
              <w:rPr>
                <w:rFonts w:ascii="仿宋_GB2312" w:hAnsi="仿宋_GB2312" w:cs="仿宋_GB2312" w:eastAsia="仿宋_GB2312"/>
                <w:sz w:val="21"/>
                <w:color w:val="000000"/>
              </w:rPr>
              <w:t>9</w:t>
            </w:r>
            <w:r>
              <w:rPr>
                <w:rFonts w:ascii="仿宋_GB2312" w:hAnsi="仿宋_GB2312" w:cs="仿宋_GB2312" w:eastAsia="仿宋_GB2312"/>
                <w:sz w:val="21"/>
                <w:color w:val="000000"/>
              </w:rPr>
              <w:t>.《城乡排水工程项目规范》（GB55027-2022）；</w:t>
            </w:r>
          </w:p>
          <w:p>
            <w:pPr>
              <w:pStyle w:val="null3"/>
              <w:spacing w:before="90"/>
              <w:ind w:left="105"/>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标的名称：御井路东侧规划路城市断头路打通工程施工图设计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一、基本要求</w:t>
            </w:r>
          </w:p>
          <w:p>
            <w:pPr>
              <w:pStyle w:val="null3"/>
            </w:pPr>
            <w:r>
              <w:rPr>
                <w:rFonts w:ascii="仿宋_GB2312" w:hAnsi="仿宋_GB2312" w:cs="仿宋_GB2312" w:eastAsia="仿宋_GB2312"/>
                <w:sz w:val="21"/>
                <w:color w:val="000000"/>
              </w:rPr>
              <w:t>1.功能要求：市政道路设计</w:t>
            </w:r>
          </w:p>
          <w:p>
            <w:pPr>
              <w:pStyle w:val="null3"/>
            </w:pPr>
            <w:r>
              <w:rPr>
                <w:rFonts w:ascii="仿宋_GB2312" w:hAnsi="仿宋_GB2312" w:cs="仿宋_GB2312" w:eastAsia="仿宋_GB2312"/>
                <w:sz w:val="21"/>
                <w:color w:val="000000"/>
              </w:rPr>
              <w:t>2.服务期限：获取初步设计成果后30日历天</w:t>
            </w:r>
          </w:p>
          <w:p>
            <w:pPr>
              <w:pStyle w:val="null3"/>
            </w:pPr>
            <w:r>
              <w:rPr>
                <w:rFonts w:ascii="仿宋_GB2312" w:hAnsi="仿宋_GB2312" w:cs="仿宋_GB2312" w:eastAsia="仿宋_GB2312"/>
                <w:sz w:val="21"/>
                <w:color w:val="000000"/>
              </w:rPr>
              <w:t>3.服务地点：西安市未央区；</w:t>
            </w:r>
          </w:p>
          <w:p>
            <w:pPr>
              <w:pStyle w:val="null3"/>
            </w:pPr>
            <w:r>
              <w:rPr>
                <w:rFonts w:ascii="仿宋_GB2312" w:hAnsi="仿宋_GB2312" w:cs="仿宋_GB2312" w:eastAsia="仿宋_GB2312"/>
                <w:sz w:val="21"/>
                <w:color w:val="000000"/>
              </w:rPr>
              <w:t>4.质量标准：满足各专业主要标准规范，能通过专家论证。</w:t>
            </w:r>
          </w:p>
          <w:p>
            <w:pPr>
              <w:pStyle w:val="null3"/>
            </w:pPr>
            <w:r>
              <w:rPr>
                <w:rFonts w:ascii="仿宋_GB2312" w:hAnsi="仿宋_GB2312" w:cs="仿宋_GB2312" w:eastAsia="仿宋_GB2312"/>
                <w:sz w:val="21"/>
                <w:b/>
                <w:color w:val="000000"/>
              </w:rPr>
              <w:t>二、需执行的国家相关标准、行业标准、地方标准或者其他标准、规范标准</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.《市政公用工程设计文件深度规定》（2025 年版）</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.《城市道路交通工程项目规范》（GB55011-2021）；</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.《城市道路工程设计规范》（CJJ37-2012）（2016 年版）；</w:t>
            </w:r>
          </w:p>
          <w:p>
            <w:pPr>
              <w:pStyle w:val="null3"/>
            </w:pPr>
            <w:r>
              <w:rPr>
                <w:rFonts w:ascii="仿宋_GB2312" w:hAnsi="仿宋_GB2312" w:cs="仿宋_GB2312" w:eastAsia="仿宋_GB2312"/>
                <w:sz w:val="21"/>
                <w:color w:val="000000"/>
              </w:rPr>
              <w:t>4《城镇道路路面设计规范》（CJJ169-2012）；</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.《城市道路交叉口设计规程》（CJJ152-2010）</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《室外排水设计标准》（</w:t>
            </w:r>
            <w:r>
              <w:rPr>
                <w:rFonts w:ascii="仿宋_GB2312" w:hAnsi="仿宋_GB2312" w:cs="仿宋_GB2312" w:eastAsia="仿宋_GB2312"/>
                <w:sz w:val="21"/>
                <w:color w:val="000000"/>
              </w:rPr>
              <w:t>GB50014-2021）；</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.《城市给水工程项目规范》（GB55026-2022）；</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.《城乡排水工程项目规范》（GB55027-2022）；</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按总价进行报价。是供应商响应磋商项目要求的全部工作内容的价格体现，包括供应商完成本项目所需的直接费用、间接费、利润、税金及其它相关的一切费用，包括但不限于：设计费、人工费、设备使用费、资料费、管理费、评审费、利润、税金及不可预见费等全部费用；在提供服务的过程中的任何遗漏，均由成交供应商免费提供，采购人将不再支付任何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按总价进行报价。是供应商响应磋商项目要求的全部工作内容的价格体现，包括供应商完成本项目所需的直接费用、间接费、利润、税金及其它相关的一切费用，包括但不限于：设计费、人工费、设备使用费、资料费、管理费、评审费、利润、税金及不可预见费等全部费用；在提供服务的过程中的任何遗漏，均由成交供应商免费提供，采购人将不再支付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获取初步设计批复之后30日历天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西安市未央区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按拟签订采购合同相关条款执行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按拟签订采购合同相关条款执行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合同签订生效，服务方开始服务，待拿到初步设计(代可研)批复后，服务方开具等额发票交于采购人后10日内一次性支付合同价款的100%；(3)其他具体按拟签订采购合同相关条款执行</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合同签订后，服务方提供经专家、采购人评审后的施工图设计成果</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工程竣工验收完成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按拟签订采购合同相关条款执行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按拟签订采购合同相关条款执行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采购文件附件“资格证明文件”中的相关要求提供一套完整的资格证明材料。②控股管理关系及重大违法记录等以响应截止日资格审查小组通过“信用中国”“中国执行信息公开网”“中国政府采购网”等网站现场查询的结果进行综合判定；对列入失信被执行人，或列入重大税收违法失信主体，或处于“政府采购严重违法失信行为信息记录”名单中的供应商，将拒绝其参与政府采购活动。</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及被授权人在响应文件提交截止时间前3个月内任意时段在本单位注册的已缴纳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供应商具有依法缴纳税收和社会保障资金的良好记录</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采购文件附件“资格证明文件”中的相关要求提供一套完整的资格证明材料。②控股管理关系及重大违法记录等以响应截止日资格审查小组通过“信用中国”“中国执行信息公开网”“中国政府采购网”等网站现场查询的结果进行综合判定；对列入失信被执行人，或列入重大税收违法失信主体，或处于“政府采购严重违法失信行为信息记录”名单中的供应商，将拒绝其参与政府采购活动。</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及被授权人在响应文件提交截止时间前3个月内任意时段在本单位注册的已缴纳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供应商具有依法缴纳税收和社会保障资金的良好记录</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供应商需具有工程设计综合资质甲级或市政行业工程设计乙级及以上资质或市政行业(燃气、轨道交通工程除外)设计乙级及以上资质或市政行业(道路工程)专业乙级及以上 资质；且通过“全国投资项目在线审批监管平台”(http://www.tzxm.gov.cn)的工程咨询机构(专业含市政公用工程)备案(截图)；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供应商拟派项目负责人需具有在本单位登记的咨询工程师资格证书或市政相关专业高级工程师(在本单位注册)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基本信息(设计资质)及项目负责人的基本信息在“陕西省住房和城乡建设厅”(http://js.shaanxi.gov.cn/)或“陕西政务服务网”(https://zwfw.shaanxi.gov.cn/sx/public/index)可查询且无不良行为记录并在各级建设诚信信息平台未被列为投标受限制的行为人或被列为严重违法失信企业名单(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供应商需具有工程设计综合资质甲级或市政行业工程设计乙级及以上资质或市政行业(燃气、轨道交通工程除)设计乙级及以上资质或市政行(道路工程)专业乙级及以上资质；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供应商拟派项目负责人须具备市政相关专业高级工程师执业资格(在本单位注册)；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供应商无不良行为记录并在各级建设诚信信息平台未被列为投标受限制的行为人或被列为严重违法失信企业名单(承诺)。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响应文件签章及格式响应</w:t>
            </w:r>
          </w:p>
        </w:tc>
        <w:tc>
          <w:tcPr>
            <w:tcW w:type="dxa" w:w="3322"/>
          </w:tcPr>
          <w:p>
            <w:pPr>
              <w:pStyle w:val="null3"/>
            </w:pPr>
            <w:r>
              <w:rPr>
                <w:rFonts w:ascii="仿宋_GB2312" w:hAnsi="仿宋_GB2312" w:cs="仿宋_GB2312" w:eastAsia="仿宋_GB2312"/>
              </w:rPr>
              <w:t>响应文件签章及格式满足磋商文件的要求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资格证明文件.docx 监狱企业的证明文件 商务、技术文件.docx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报价表 商务、技术文件.docx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报价表 商务、技术文件.docx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w:t>
            </w:r>
          </w:p>
        </w:tc>
        <w:tc>
          <w:tcPr>
            <w:tcW w:type="dxa" w:w="3322"/>
          </w:tcPr>
          <w:p>
            <w:pPr>
              <w:pStyle w:val="null3"/>
            </w:pPr>
            <w:r>
              <w:rPr>
                <w:rFonts w:ascii="仿宋_GB2312" w:hAnsi="仿宋_GB2312" w:cs="仿宋_GB2312" w:eastAsia="仿宋_GB2312"/>
              </w:rPr>
              <w:t>完全理解并响应采购文件的要求</w:t>
            </w:r>
          </w:p>
        </w:tc>
        <w:tc>
          <w:tcPr>
            <w:tcW w:type="dxa" w:w="1661"/>
          </w:tcPr>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响应文件签章及格式响应</w:t>
            </w:r>
          </w:p>
        </w:tc>
        <w:tc>
          <w:tcPr>
            <w:tcW w:type="dxa" w:w="3322"/>
          </w:tcPr>
          <w:p>
            <w:pPr>
              <w:pStyle w:val="null3"/>
            </w:pPr>
            <w:r>
              <w:rPr>
                <w:rFonts w:ascii="仿宋_GB2312" w:hAnsi="仿宋_GB2312" w:cs="仿宋_GB2312" w:eastAsia="仿宋_GB2312"/>
              </w:rPr>
              <w:t>响应文件签章及格式满足磋商文件的要求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资格证明文件.docx 监狱企业的证明文件 商务、技术文件.docx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报价表 商务、技术文件.docx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报价表 商务、技术文件.docx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w:t>
            </w:r>
          </w:p>
        </w:tc>
        <w:tc>
          <w:tcPr>
            <w:tcW w:type="dxa" w:w="3322"/>
          </w:tcPr>
          <w:p>
            <w:pPr>
              <w:pStyle w:val="null3"/>
            </w:pPr>
            <w:r>
              <w:rPr>
                <w:rFonts w:ascii="仿宋_GB2312" w:hAnsi="仿宋_GB2312" w:cs="仿宋_GB2312" w:eastAsia="仿宋_GB2312"/>
              </w:rPr>
              <w:t>完全理解并响应采购文件的要求</w:t>
            </w:r>
          </w:p>
        </w:tc>
        <w:tc>
          <w:tcPr>
            <w:tcW w:type="dxa" w:w="1661"/>
          </w:tcPr>
          <w:p>
            <w:pPr>
              <w:pStyle w:val="null3"/>
            </w:pPr>
            <w:r>
              <w:rPr>
                <w:rFonts w:ascii="仿宋_GB2312" w:hAnsi="仿宋_GB2312" w:cs="仿宋_GB2312" w:eastAsia="仿宋_GB2312"/>
              </w:rPr>
              <w:t>商务、技术文件.docx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项目实施总体方案编制</w:t>
            </w:r>
          </w:p>
        </w:tc>
        <w:tc>
          <w:tcPr>
            <w:tcW w:type="dxa" w:w="2492"/>
          </w:tcPr>
          <w:p>
            <w:pPr>
              <w:pStyle w:val="null3"/>
            </w:pPr>
            <w:r>
              <w:rPr>
                <w:rFonts w:ascii="仿宋_GB2312" w:hAnsi="仿宋_GB2312" w:cs="仿宋_GB2312" w:eastAsia="仿宋_GB2312"/>
              </w:rPr>
              <w:t>1.针对本项目采购需求，编制思路清晰，满足采购需求计10-15分； 2.针对本项目采购需求思路可行，内容基本完善计5-10分； 3.编制思路理念落后或于本项目适用性差计1-5分； 4.未提供不计分。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1.方案内容全面完善、满足采购需求计10-15分； 2.方案内容全面，不完善计5-10分； 3.方案内容不全面或不适用于本项目计1-5分； 4.未提供不计分。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1.能够提出本项目实施过程中可能遇见的重点、难点，对本项目适用性强，并提供针对性强的措施及有效的解决方案计7-9分； 2.能够提出本项目实施过程中可能遇见的重点、难点，但对本项目适用性不很强，未提供针对性的措施或有效的解决方案计4-7分； 3.提出本项目实施过程中可能遇见的重点、难点不适用，或无针对性的措施或解决方案计1-4分； 4.未提供不计分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1.针对本项目有详细的项目进度安排，工作安排完整详尽，能确保按期完成成果递交计3-5分； 2.针对本项目有项目进度安排，工作安排基本完整和明确计2-3分； 3.项目进度安排不合理，难以保证按期完成成果递交的计1-2分； 4.未提供项目进度安排不计分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1.人员组织架构完整，岗位设置合理、明确，技术人员专业性、经验性强，且对本项目有针对性，得 3- 5 分； 2.人员组织架构完善程度一般，岗位设置基本合理，技术人员专业性、经验性较强，得 2-3分； 3.人员组织架构不完整，人员岗位设置紧张，技术人员专业性、经验性欠缺，得 1-2分； 4.未提供人员不得分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专业人员配置</w:t>
            </w:r>
          </w:p>
        </w:tc>
        <w:tc>
          <w:tcPr>
            <w:tcW w:type="dxa" w:w="2492"/>
          </w:tcPr>
          <w:p>
            <w:pPr>
              <w:pStyle w:val="null3"/>
            </w:pPr>
            <w:r>
              <w:rPr>
                <w:rFonts w:ascii="仿宋_GB2312" w:hAnsi="仿宋_GB2312" w:cs="仿宋_GB2312" w:eastAsia="仿宋_GB2312"/>
              </w:rPr>
              <w:t>团队人员配置中每具有一名中级职称的得 0.5 分，高级及以上职称得1 分,本项最多得5分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项目负责人必须为供应商在职人员（提供社保缴纳证明），否则不计分。 项目负责人具有高级技术职称计5分，中级技术职称计3分，中级职称以下不计分。（职称证明材料需提供职称证书复印件加盖公章 )</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供应商提供2023年1月至开标前完成的类似业绩，每提供一项得2分；最高计6分。 (以合同签订日期为准，供应商须提供合同或中标（成交）通知书复印件加盖公章。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1.供应商对项目实施过程中和后期服务配合做出承诺，承诺内容全面 , 实际可行性较高的计3-5 分； 2.承诺内容比较全面，有一定的可行性的赋2-3 分； 3.承诺内容一般，赋 1-2 分； 4.未提供服务承诺不计分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采用低价优先法，满足磋商文件要求且最后报价最低的供应商的价格为磋商基准价，其价格分为满分30分。其他供应商的价格分统一按照下列公式计算： 磋商报价得分= (磋商基准价/最后磋商报价） ×30%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项目实施总体方案编制</w:t>
            </w:r>
          </w:p>
        </w:tc>
        <w:tc>
          <w:tcPr>
            <w:tcW w:type="dxa" w:w="2492"/>
          </w:tcPr>
          <w:p>
            <w:pPr>
              <w:pStyle w:val="null3"/>
            </w:pPr>
            <w:r>
              <w:rPr>
                <w:rFonts w:ascii="仿宋_GB2312" w:hAnsi="仿宋_GB2312" w:cs="仿宋_GB2312" w:eastAsia="仿宋_GB2312"/>
              </w:rPr>
              <w:t>1.针对本项目采购需求，编制思路清晰，满足采购需求计10-15分； 2.针对本项目采购需求思路可行，内容基本完善计5-10分； 3.编制思路理念落后或于本项目适用性差计1-5分； 4.未提供不计分。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1.方案内容全面完善、满足采购需求计10-15分； 2.方案内容全面，不完善计5-10分； 3.方案内容不全面或不适用于本项目计1-5分； 4.未提供不计分。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1.能够提出本项目实施过程中可能遇见的重点、难点，对本项目适用性强，并提供针对性强的措施及有效的解决方案计7-9分； 2.能够提出本项目实施过程中可能遇见的重点、难点，但对本项目适用性不很强，未提供针对性的措施或有效的解决方案计4-7分； 3.提出本项目实施过程中可能遇见的重点、难点不适用，或无针对性的措施或解决方案计1-4分； 4.未提供不计分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1.针对本项目有详细的项目进度安排，工作安排完整详尽，能确保按期完成成果递交计3-5分； 2.针对本项目有项目进度安排，工作安排基本完整和明确计2-3分； 3.项目进度安排不合理，难以保证按期完成成果递交的计1-2分； 4.未提供项目进度安排不计分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1.人员组织架构完整，岗位设置合理、明确，技术人员专业性、经验性强，且对本项目有针对性，得 3- 5 分；2.人员组织架构完善程度一般，岗位设置基本合理，技术人员专业性、经验性较强，得 2-3分； 3.人员组织架构不完整，人员岗位设置紧张，技术人员专业性、经验性欠缺，得 1-2分；4.未提供人员不得分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专业人员配置</w:t>
            </w:r>
          </w:p>
        </w:tc>
        <w:tc>
          <w:tcPr>
            <w:tcW w:type="dxa" w:w="2492"/>
          </w:tcPr>
          <w:p>
            <w:pPr>
              <w:pStyle w:val="null3"/>
            </w:pPr>
            <w:r>
              <w:rPr>
                <w:rFonts w:ascii="仿宋_GB2312" w:hAnsi="仿宋_GB2312" w:cs="仿宋_GB2312" w:eastAsia="仿宋_GB2312"/>
              </w:rPr>
              <w:t>团队人员配置中每具有一名中级职称的得 0.5 分，高级及以上职称得1 分,本项最多得5分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项目负责人必须为供应商在职人员（提供社保缴纳证明），否则不计分。 项目负责人具有高级技术职称计5分，中级技术职称计3分，中级职称以下不计分。（职称证明材料需提供职称证书复印件加盖公章 )</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供应商提供2023年1月至开标前完成的类似业绩，每提供一项得2分；最高计6分。 (以合同签订日期为准，供应商须提供合同或中标（成交）通知书复印件加盖公章。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1.供应商对项目实施过程中和后期服务配合做出承诺，承诺内容全面 , 实际可行性较高的计3-5 分；2.承诺内容比较全面，有一定的可行性的赋2-3 分；3.承诺内容一般， 赋 1-2 分；4.未提供服务承诺不计分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采用低价优先法，满足磋商文件要求且最后报价最低的供应商的价格为磋商基准价，其价格分为满分30分。其他供应商的价格分统一按照下列公式计算： 磋商报价得分= (磋商基准价/最后磋商报价） ×30%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