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版本号：SXZHZB2026-ZC014-CS20260423001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2026年垃圾分类宣传品制作项目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SXZHZB2026-ZC014-CS</w:t>
      </w:r>
      <w:r>
        <w:br/>
      </w:r>
      <w:r>
        <w:br/>
      </w:r>
      <w:r>
        <w:br/>
      </w:r>
    </w:p>
    <w:p>
      <w:pPr>
        <w:pStyle w:val="null3"/>
        <w:jc w:val="center"/>
        <w:outlineLvl w:val="2"/>
      </w:pPr>
      <w:r>
        <w:rPr>
          <w:rFonts w:ascii="仿宋_GB2312" w:hAnsi="仿宋_GB2312" w:cs="仿宋_GB2312" w:eastAsia="仿宋_GB2312"/>
          <w:sz w:val="28"/>
          <w:b/>
        </w:rPr>
        <w:t>西安市未央区城市管理和综合执法局</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西安市未央区城市管理和综合执法局</w:t>
      </w:r>
      <w:r>
        <w:rPr>
          <w:rFonts w:ascii="仿宋_GB2312" w:hAnsi="仿宋_GB2312" w:cs="仿宋_GB2312" w:eastAsia="仿宋_GB2312"/>
        </w:rPr>
        <w:t>委托，拟对</w:t>
      </w:r>
      <w:r>
        <w:rPr>
          <w:rFonts w:ascii="仿宋_GB2312" w:hAnsi="仿宋_GB2312" w:cs="仿宋_GB2312" w:eastAsia="仿宋_GB2312"/>
        </w:rPr>
        <w:t>2026年垃圾分类宣传品制作项目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SXZHZB2026-ZC014-CS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2026年垃圾分类宣传品制作项目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2026年垃圾分类宣传品制作项目，相关宣传品制作及组织宣传活动。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采购包1（2026年垃圾分类宣传品制作项目）：属于专门面向中小企业采购。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陕西省西安市未央区连心路51号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029-86245015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采购包1：626,890.00元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（财库〔2018〕2号）的有关规定执行。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西安市未央区城市管理和综合执法局</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2026年垃圾分类宣传品制作项目，相关宣传品制作及组织宣传活动。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626,890.00</w:t>
      </w:r>
    </w:p>
    <w:p>
      <w:pPr>
        <w:pStyle w:val="null3"/>
      </w:pPr>
      <w:r>
        <w:rPr>
          <w:rFonts w:ascii="仿宋_GB2312" w:hAnsi="仿宋_GB2312" w:cs="仿宋_GB2312" w:eastAsia="仿宋_GB2312"/>
        </w:rPr>
        <w:t>采购包最高限价（元）: 626,890.00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2026年垃圾分类宣传品制作项目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626,890.00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标的名称：2026年垃圾分类宣传品制作项目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11"/>
              <w:jc w:val="left"/>
            </w:pPr>
            <w:r>
              <w:rPr>
                <w:rFonts w:ascii="仿宋_GB2312" w:hAnsi="仿宋_GB2312" w:cs="仿宋_GB2312" w:eastAsia="仿宋_GB2312"/>
                <w:sz w:val="21"/>
                <w:b/>
              </w:rPr>
              <w:t>一、</w:t>
            </w:r>
            <w:r>
              <w:rPr>
                <w:rFonts w:ascii="仿宋_GB2312" w:hAnsi="仿宋_GB2312" w:cs="仿宋_GB2312" w:eastAsia="仿宋_GB2312"/>
                <w:sz w:val="21"/>
                <w:b/>
              </w:rPr>
              <w:t>服务内容</w:t>
            </w:r>
          </w:p>
          <w:tbl>
            <w:tblPr>
              <w:tblInd w:type="dxa" w:w="120"/>
              <w:tblBorders>
                <w:top w:val="none" w:color="000000" w:sz="4"/>
                <w:left w:val="none" w:color="000000" w:sz="4"/>
                <w:bottom w:val="none" w:color="000000" w:sz="4"/>
                <w:right w:val="none" w:color="000000" w:sz="4"/>
                <w:insideH w:val="none"/>
                <w:insideV w:val="none"/>
              </w:tblBorders>
            </w:tblPr>
            <w:tblGrid>
              <w:gridCol w:w="173"/>
              <w:gridCol w:w="137"/>
              <w:gridCol w:w="883"/>
              <w:gridCol w:w="791"/>
              <w:gridCol w:w="274"/>
              <w:gridCol w:w="250"/>
            </w:tblGrid>
            <w:tr>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分类</w:t>
                  </w:r>
                </w:p>
              </w:tc>
              <w:tc>
                <w:tcPr>
                  <w:tcW w:type="dxa" w:w="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规格型号</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垃</w:t>
                  </w:r>
                  <w:r>
                    <w:br/>
                  </w:r>
                  <w:r>
                    <w:rPr>
                      <w:rFonts w:ascii="仿宋_GB2312" w:hAnsi="仿宋_GB2312" w:cs="仿宋_GB2312" w:eastAsia="仿宋_GB2312"/>
                      <w:sz w:val="22"/>
                      <w:color w:val="000000"/>
                    </w:rPr>
                    <w:t>圾</w:t>
                  </w:r>
                  <w:r>
                    <w:br/>
                  </w:r>
                  <w:r>
                    <w:rPr>
                      <w:rFonts w:ascii="仿宋_GB2312" w:hAnsi="仿宋_GB2312" w:cs="仿宋_GB2312" w:eastAsia="仿宋_GB2312"/>
                      <w:sz w:val="22"/>
                      <w:color w:val="000000"/>
                    </w:rPr>
                    <w:t>分</w:t>
                  </w:r>
                  <w:r>
                    <w:br/>
                  </w:r>
                  <w:r>
                    <w:rPr>
                      <w:rFonts w:ascii="仿宋_GB2312" w:hAnsi="仿宋_GB2312" w:cs="仿宋_GB2312" w:eastAsia="仿宋_GB2312"/>
                      <w:sz w:val="22"/>
                      <w:color w:val="000000"/>
                    </w:rPr>
                    <w:t>类</w:t>
                  </w:r>
                  <w:r>
                    <w:br/>
                  </w:r>
                  <w:r>
                    <w:rPr>
                      <w:rFonts w:ascii="仿宋_GB2312" w:hAnsi="仿宋_GB2312" w:cs="仿宋_GB2312" w:eastAsia="仿宋_GB2312"/>
                      <w:sz w:val="22"/>
                      <w:color w:val="000000"/>
                    </w:rPr>
                    <w:t>宣</w:t>
                  </w:r>
                  <w:r>
                    <w:br/>
                  </w:r>
                  <w:r>
                    <w:rPr>
                      <w:rFonts w:ascii="仿宋_GB2312" w:hAnsi="仿宋_GB2312" w:cs="仿宋_GB2312" w:eastAsia="仿宋_GB2312"/>
                      <w:sz w:val="22"/>
                      <w:color w:val="000000"/>
                    </w:rPr>
                    <w:t>传</w:t>
                  </w:r>
                  <w:r>
                    <w:br/>
                  </w:r>
                  <w:r>
                    <w:rPr>
                      <w:rFonts w:ascii="仿宋_GB2312" w:hAnsi="仿宋_GB2312" w:cs="仿宋_GB2312" w:eastAsia="仿宋_GB2312"/>
                      <w:sz w:val="22"/>
                      <w:color w:val="000000"/>
                    </w:rPr>
                    <w:t>品</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生活垃圾分类十三场景</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A5 13种版/套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生活垃圾分类投放指南</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A4</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西安市生活垃圾分类管理条例</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A5</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垃圾分类入户宣传手册</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A3,铜版纸对折压痕</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290000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份</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生活垃圾分类毛毡包</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30*40*12cm</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生活垃圾分类定制纸杯</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25个/打，9盎司</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打</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定制垃圾分类抽纸</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14*6*9.5cm 可湿水纸</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生活垃圾分类定制毛巾</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30*30cm 激光雕刻</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定制垃圾分类签字笔</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丝网印字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定制垃圾玩具车</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一车四桶</w:t>
                  </w:r>
                  <w:r>
                    <w:rPr>
                      <w:rFonts w:ascii="仿宋_GB2312" w:hAnsi="仿宋_GB2312" w:cs="仿宋_GB2312" w:eastAsia="仿宋_GB2312"/>
                      <w:sz w:val="22"/>
                      <w:color w:val="000000"/>
                    </w:rPr>
                    <w:t>+卡片</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定制垃圾分类围裙</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设计定制</w:t>
                  </w:r>
                  <w:r>
                    <w:rPr>
                      <w:rFonts w:ascii="仿宋_GB2312" w:hAnsi="仿宋_GB2312" w:cs="仿宋_GB2312" w:eastAsia="仿宋_GB2312"/>
                      <w:sz w:val="22"/>
                      <w:color w:val="000000"/>
                    </w:rPr>
                    <w:t>PVC防水款</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定制红马甲</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烫印（前后）</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定制垃圾袋</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两色（其他、厨余）</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定制帆布袋</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有内衬、内外有口袋、拉链</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垃圾分类人偶服</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四色娃娃</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定制便签盒及便签</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盒子及便签纸印制</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定制笔记本</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137"/>
                  <w:vMerge/>
                  <w:tcBorders>
                    <w:top w:val="non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共建共管承诺书</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A3,铜版纸对折压痕</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份</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13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垃</w:t>
                  </w:r>
                  <w:r>
                    <w:br/>
                  </w:r>
                  <w:r>
                    <w:rPr>
                      <w:rFonts w:ascii="仿宋_GB2312" w:hAnsi="仿宋_GB2312" w:cs="仿宋_GB2312" w:eastAsia="仿宋_GB2312"/>
                      <w:sz w:val="22"/>
                      <w:color w:val="000000"/>
                    </w:rPr>
                    <w:t>圾</w:t>
                  </w:r>
                  <w:r>
                    <w:br/>
                  </w:r>
                  <w:r>
                    <w:rPr>
                      <w:rFonts w:ascii="仿宋_GB2312" w:hAnsi="仿宋_GB2312" w:cs="仿宋_GB2312" w:eastAsia="仿宋_GB2312"/>
                      <w:sz w:val="22"/>
                      <w:color w:val="000000"/>
                    </w:rPr>
                    <w:t>分</w:t>
                  </w:r>
                  <w:r>
                    <w:br/>
                  </w:r>
                  <w:r>
                    <w:rPr>
                      <w:rFonts w:ascii="仿宋_GB2312" w:hAnsi="仿宋_GB2312" w:cs="仿宋_GB2312" w:eastAsia="仿宋_GB2312"/>
                      <w:sz w:val="22"/>
                      <w:color w:val="000000"/>
                    </w:rPr>
                    <w:t>类</w:t>
                  </w:r>
                  <w:r>
                    <w:br/>
                  </w:r>
                  <w:r>
                    <w:rPr>
                      <w:rFonts w:ascii="仿宋_GB2312" w:hAnsi="仿宋_GB2312" w:cs="仿宋_GB2312" w:eastAsia="仿宋_GB2312"/>
                      <w:sz w:val="22"/>
                      <w:color w:val="000000"/>
                    </w:rPr>
                    <w:t>宣</w:t>
                  </w:r>
                  <w:r>
                    <w:br/>
                  </w:r>
                  <w:r>
                    <w:rPr>
                      <w:rFonts w:ascii="仿宋_GB2312" w:hAnsi="仿宋_GB2312" w:cs="仿宋_GB2312" w:eastAsia="仿宋_GB2312"/>
                      <w:sz w:val="22"/>
                      <w:color w:val="000000"/>
                    </w:rPr>
                    <w:t>传</w:t>
                  </w:r>
                  <w:r>
                    <w:br/>
                  </w:r>
                  <w:r>
                    <w:rPr>
                      <w:rFonts w:ascii="仿宋_GB2312" w:hAnsi="仿宋_GB2312" w:cs="仿宋_GB2312" w:eastAsia="仿宋_GB2312"/>
                      <w:sz w:val="22"/>
                      <w:color w:val="000000"/>
                    </w:rPr>
                    <w:t>活</w:t>
                  </w:r>
                  <w:r>
                    <w:br/>
                  </w:r>
                  <w:r>
                    <w:rPr>
                      <w:rFonts w:ascii="仿宋_GB2312" w:hAnsi="仿宋_GB2312" w:cs="仿宋_GB2312" w:eastAsia="仿宋_GB2312"/>
                      <w:sz w:val="22"/>
                      <w:color w:val="000000"/>
                    </w:rPr>
                    <w:t>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w:t>
                  </w:r>
                  <w:r>
                    <w:br/>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街</w:t>
                  </w:r>
                  <w:r>
                    <w:br/>
                  </w:r>
                  <w:r>
                    <w:rPr>
                      <w:rFonts w:ascii="仿宋_GB2312" w:hAnsi="仿宋_GB2312" w:cs="仿宋_GB2312" w:eastAsia="仿宋_GB2312"/>
                      <w:sz w:val="22"/>
                      <w:color w:val="000000"/>
                    </w:rPr>
                    <w:t>道</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搭建主背景</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5*10米主屏</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37"/>
                  <w:vMerge/>
                  <w:tcBorders>
                    <w:top w:val="none" w:color="000000" w:sz="4"/>
                    <w:left w:val="none" w:color="000000" w:sz="4"/>
                    <w:bottom w:val="non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舞台</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5*10米 钢骨架+舞台板+踏步</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137"/>
                  <w:vMerge/>
                  <w:tcBorders>
                    <w:top w:val="none" w:color="000000" w:sz="4"/>
                    <w:left w:val="none" w:color="000000" w:sz="4"/>
                    <w:bottom w:val="non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地毯</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6*12米 地毯</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137"/>
                  <w:vMerge/>
                  <w:tcBorders>
                    <w:top w:val="none" w:color="000000" w:sz="4"/>
                    <w:left w:val="none" w:color="000000" w:sz="4"/>
                    <w:bottom w:val="none" w:color="000000" w:sz="4"/>
                    <w:right w:val="single" w:color="000000" w:sz="4"/>
                  </w:tcBorders>
                </w:tcPr>
                <w:p/>
              </w:tc>
              <w:tc>
                <w:tcPr>
                  <w:tcW w:type="dxa" w:w="88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活动桌椅</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桌子含桌布</w:t>
                  </w:r>
                  <w:r>
                    <w:rPr>
                      <w:rFonts w:ascii="仿宋_GB2312" w:hAnsi="仿宋_GB2312" w:cs="仿宋_GB2312" w:eastAsia="仿宋_GB2312"/>
                      <w:sz w:val="22"/>
                      <w:color w:val="000000"/>
                    </w:rPr>
                    <w:t>10个</w:t>
                  </w:r>
                  <w:r>
                    <w:br/>
                  </w:r>
                  <w:r>
                    <w:rPr>
                      <w:rFonts w:ascii="仿宋_GB2312" w:hAnsi="仿宋_GB2312" w:cs="仿宋_GB2312" w:eastAsia="仿宋_GB2312"/>
                      <w:sz w:val="22"/>
                      <w:color w:val="000000"/>
                    </w:rPr>
                    <w:t>贵宾椅含椅套</w:t>
                  </w:r>
                  <w:r>
                    <w:rPr>
                      <w:rFonts w:ascii="仿宋_GB2312" w:hAnsi="仿宋_GB2312" w:cs="仿宋_GB2312" w:eastAsia="仿宋_GB2312"/>
                      <w:sz w:val="22"/>
                      <w:color w:val="000000"/>
                    </w:rPr>
                    <w:t>20把</w:t>
                  </w:r>
                  <w:r>
                    <w:br/>
                  </w:r>
                  <w:r>
                    <w:rPr>
                      <w:rFonts w:ascii="仿宋_GB2312" w:hAnsi="仿宋_GB2312" w:cs="仿宋_GB2312" w:eastAsia="仿宋_GB2312"/>
                      <w:sz w:val="22"/>
                      <w:color w:val="000000"/>
                    </w:rPr>
                    <w:t>单人凳</w:t>
                  </w:r>
                  <w:r>
                    <w:rPr>
                      <w:rFonts w:ascii="仿宋_GB2312" w:hAnsi="仿宋_GB2312" w:cs="仿宋_GB2312" w:eastAsia="仿宋_GB2312"/>
                      <w:sz w:val="22"/>
                      <w:color w:val="000000"/>
                    </w:rPr>
                    <w:t>150把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137"/>
                  <w:vMerge/>
                  <w:tcBorders>
                    <w:top w:val="none" w:color="000000" w:sz="4"/>
                    <w:left w:val="none" w:color="000000" w:sz="4"/>
                    <w:bottom w:val="none" w:color="000000" w:sz="4"/>
                    <w:right w:val="single" w:color="000000" w:sz="4"/>
                  </w:tcBorders>
                </w:tcPr>
                <w:p/>
              </w:tc>
              <w:tc>
                <w:tcPr>
                  <w:tcW w:type="dxa" w:w="88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音频设备</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手持麦克风及麦架</w:t>
                  </w:r>
                  <w:r>
                    <w:rPr>
                      <w:rFonts w:ascii="仿宋_GB2312" w:hAnsi="仿宋_GB2312" w:cs="仿宋_GB2312" w:eastAsia="仿宋_GB2312"/>
                      <w:sz w:val="22"/>
                      <w:color w:val="000000"/>
                    </w:rPr>
                    <w:t>4支</w:t>
                  </w:r>
                  <w:r>
                    <w:br/>
                  </w:r>
                  <w:r>
                    <w:rPr>
                      <w:rFonts w:ascii="仿宋_GB2312" w:hAnsi="仿宋_GB2312" w:cs="仿宋_GB2312" w:eastAsia="仿宋_GB2312"/>
                      <w:sz w:val="22"/>
                      <w:color w:val="000000"/>
                    </w:rPr>
                    <w:t>数字调音台及操控台</w:t>
                  </w:r>
                  <w:r>
                    <w:br/>
                  </w:r>
                  <w:r>
                    <w:rPr>
                      <w:rFonts w:ascii="仿宋_GB2312" w:hAnsi="仿宋_GB2312" w:cs="仿宋_GB2312" w:eastAsia="仿宋_GB2312"/>
                      <w:sz w:val="22"/>
                      <w:color w:val="000000"/>
                    </w:rPr>
                    <w:t>音箱</w:t>
                  </w:r>
                  <w:r>
                    <w:rPr>
                      <w:rFonts w:ascii="仿宋_GB2312" w:hAnsi="仿宋_GB2312" w:cs="仿宋_GB2312" w:eastAsia="仿宋_GB2312"/>
                      <w:sz w:val="22"/>
                      <w:color w:val="000000"/>
                    </w:rPr>
                    <w:t>4对</w:t>
                  </w:r>
                  <w:r>
                    <w:br/>
                  </w:r>
                  <w:r>
                    <w:rPr>
                      <w:rFonts w:ascii="仿宋_GB2312" w:hAnsi="仿宋_GB2312" w:cs="仿宋_GB2312" w:eastAsia="仿宋_GB2312"/>
                      <w:sz w:val="22"/>
                      <w:color w:val="000000"/>
                    </w:rPr>
                    <w:t>低音音箱舞台返听</w:t>
                  </w:r>
                  <w:r>
                    <w:rPr>
                      <w:rFonts w:ascii="仿宋_GB2312" w:hAnsi="仿宋_GB2312" w:cs="仿宋_GB2312" w:eastAsia="仿宋_GB2312"/>
                      <w:sz w:val="22"/>
                      <w:color w:val="000000"/>
                    </w:rPr>
                    <w:t>2只</w:t>
                  </w:r>
                  <w:r>
                    <w:br/>
                  </w:r>
                  <w:r>
                    <w:rPr>
                      <w:rFonts w:ascii="仿宋_GB2312" w:hAnsi="仿宋_GB2312" w:cs="仿宋_GB2312" w:eastAsia="仿宋_GB2312"/>
                      <w:sz w:val="22"/>
                      <w:color w:val="000000"/>
                    </w:rPr>
                    <w:t>补声音箱</w:t>
                  </w:r>
                  <w:r>
                    <w:rPr>
                      <w:rFonts w:ascii="仿宋_GB2312" w:hAnsi="仿宋_GB2312" w:cs="仿宋_GB2312" w:eastAsia="仿宋_GB2312"/>
                      <w:sz w:val="22"/>
                      <w:color w:val="000000"/>
                    </w:rPr>
                    <w:t>2只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37"/>
                  <w:vMerge/>
                  <w:tcBorders>
                    <w:top w:val="none" w:color="000000" w:sz="4"/>
                    <w:left w:val="none" w:color="000000" w:sz="4"/>
                    <w:bottom w:val="none" w:color="000000" w:sz="4"/>
                    <w:right w:val="single" w:color="000000" w:sz="4"/>
                  </w:tcBorders>
                </w:tcPr>
                <w:p/>
              </w:tc>
              <w:tc>
                <w:tcPr>
                  <w:tcW w:type="dxa" w:w="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演出</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乐队架子鼓表演</w:t>
                  </w:r>
                  <w:r>
                    <w:rPr>
                      <w:rFonts w:ascii="仿宋_GB2312" w:hAnsi="仿宋_GB2312" w:cs="仿宋_GB2312" w:eastAsia="仿宋_GB2312"/>
                      <w:sz w:val="22"/>
                      <w:color w:val="000000"/>
                    </w:rPr>
                    <w:t>4人</w:t>
                  </w:r>
                  <w:r>
                    <w:br/>
                  </w:r>
                  <w:r>
                    <w:rPr>
                      <w:rFonts w:ascii="仿宋_GB2312" w:hAnsi="仿宋_GB2312" w:cs="仿宋_GB2312" w:eastAsia="仿宋_GB2312"/>
                      <w:sz w:val="22"/>
                      <w:color w:val="000000"/>
                    </w:rPr>
                    <w:t>唱歌</w:t>
                  </w:r>
                  <w:r>
                    <w:br/>
                  </w:r>
                  <w:r>
                    <w:rPr>
                      <w:rFonts w:ascii="仿宋_GB2312" w:hAnsi="仿宋_GB2312" w:cs="仿宋_GB2312" w:eastAsia="仿宋_GB2312"/>
                      <w:sz w:val="22"/>
                      <w:color w:val="000000"/>
                    </w:rPr>
                    <w:t>脱口秀</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37"/>
                  <w:vMerge/>
                  <w:tcBorders>
                    <w:top w:val="none" w:color="000000" w:sz="4"/>
                    <w:left w:val="none" w:color="000000" w:sz="4"/>
                    <w:bottom w:val="non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主持人</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陕电级</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13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垃</w:t>
                  </w:r>
                  <w:r>
                    <w:br/>
                  </w:r>
                  <w:r>
                    <w:rPr>
                      <w:rFonts w:ascii="仿宋_GB2312" w:hAnsi="仿宋_GB2312" w:cs="仿宋_GB2312" w:eastAsia="仿宋_GB2312"/>
                      <w:sz w:val="22"/>
                      <w:color w:val="000000"/>
                    </w:rPr>
                    <w:t>圾</w:t>
                  </w:r>
                  <w:r>
                    <w:br/>
                  </w:r>
                  <w:r>
                    <w:rPr>
                      <w:rFonts w:ascii="仿宋_GB2312" w:hAnsi="仿宋_GB2312" w:cs="仿宋_GB2312" w:eastAsia="仿宋_GB2312"/>
                      <w:sz w:val="22"/>
                      <w:color w:val="000000"/>
                    </w:rPr>
                    <w:t>分</w:t>
                  </w:r>
                  <w:r>
                    <w:br/>
                  </w:r>
                  <w:r>
                    <w:rPr>
                      <w:rFonts w:ascii="仿宋_GB2312" w:hAnsi="仿宋_GB2312" w:cs="仿宋_GB2312" w:eastAsia="仿宋_GB2312"/>
                      <w:sz w:val="22"/>
                      <w:color w:val="000000"/>
                    </w:rPr>
                    <w:t>类</w:t>
                  </w:r>
                  <w:r>
                    <w:br/>
                  </w:r>
                  <w:r>
                    <w:rPr>
                      <w:rFonts w:ascii="仿宋_GB2312" w:hAnsi="仿宋_GB2312" w:cs="仿宋_GB2312" w:eastAsia="仿宋_GB2312"/>
                      <w:sz w:val="22"/>
                      <w:color w:val="000000"/>
                    </w:rPr>
                    <w:t>活</w:t>
                  </w:r>
                  <w:r>
                    <w:br/>
                  </w:r>
                  <w:r>
                    <w:rPr>
                      <w:rFonts w:ascii="仿宋_GB2312" w:hAnsi="仿宋_GB2312" w:cs="仿宋_GB2312" w:eastAsia="仿宋_GB2312"/>
                      <w:sz w:val="22"/>
                      <w:color w:val="000000"/>
                    </w:rPr>
                    <w:t>动</w:t>
                  </w:r>
                  <w:r>
                    <w:br/>
                  </w:r>
                  <w:r>
                    <w:br/>
                  </w:r>
                  <w:r>
                    <w:rPr>
                      <w:rFonts w:ascii="仿宋_GB2312" w:hAnsi="仿宋_GB2312" w:cs="仿宋_GB2312" w:eastAsia="仿宋_GB2312"/>
                      <w:sz w:val="22"/>
                      <w:color w:val="000000"/>
                    </w:rPr>
                    <w:t>3</w:t>
                  </w:r>
                  <w:r>
                    <w:br/>
                  </w:r>
                  <w:r>
                    <w:rPr>
                      <w:rFonts w:ascii="仿宋_GB2312" w:hAnsi="仿宋_GB2312" w:cs="仿宋_GB2312" w:eastAsia="仿宋_GB2312"/>
                      <w:sz w:val="22"/>
                      <w:color w:val="000000"/>
                    </w:rPr>
                    <w:t>场</w:t>
                  </w:r>
                  <w:r>
                    <w:br/>
                  </w:r>
                  <w:r>
                    <w:rPr>
                      <w:rFonts w:ascii="仿宋_GB2312" w:hAnsi="仿宋_GB2312" w:cs="仿宋_GB2312" w:eastAsia="仿宋_GB2312"/>
                      <w:sz w:val="22"/>
                      <w:color w:val="000000"/>
                    </w:rPr>
                    <w:t>商</w:t>
                  </w:r>
                  <w:r>
                    <w:br/>
                  </w:r>
                  <w:r>
                    <w:rPr>
                      <w:rFonts w:ascii="仿宋_GB2312" w:hAnsi="仿宋_GB2312" w:cs="仿宋_GB2312" w:eastAsia="仿宋_GB2312"/>
                      <w:sz w:val="22"/>
                      <w:color w:val="000000"/>
                    </w:rPr>
                    <w:t>场</w:t>
                  </w: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搭建主背景</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5*8米电子屏+侧耳</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137"/>
                  <w:vMerge/>
                  <w:tcBorders>
                    <w:top w:val="singl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舞台</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5*10米 钢骨架+舞台板+踏步</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137"/>
                  <w:vMerge/>
                  <w:tcBorders>
                    <w:top w:val="singl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地毯</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6*12米 地毯</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137"/>
                  <w:vMerge/>
                  <w:tcBorders>
                    <w:top w:val="single" w:color="000000" w:sz="4"/>
                    <w:left w:val="none" w:color="000000" w:sz="4"/>
                    <w:bottom w:val="single" w:color="000000" w:sz="4"/>
                    <w:right w:val="single" w:color="000000" w:sz="4"/>
                  </w:tcBorders>
                </w:tcPr>
                <w:p/>
              </w:tc>
              <w:tc>
                <w:tcPr>
                  <w:tcW w:type="dxa" w:w="88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活动桌椅</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桌子含桌布</w:t>
                  </w:r>
                  <w:r>
                    <w:rPr>
                      <w:rFonts w:ascii="仿宋_GB2312" w:hAnsi="仿宋_GB2312" w:cs="仿宋_GB2312" w:eastAsia="仿宋_GB2312"/>
                      <w:sz w:val="22"/>
                      <w:color w:val="000000"/>
                    </w:rPr>
                    <w:t>10个</w:t>
                  </w:r>
                  <w:r>
                    <w:br/>
                  </w:r>
                  <w:r>
                    <w:rPr>
                      <w:rFonts w:ascii="仿宋_GB2312" w:hAnsi="仿宋_GB2312" w:cs="仿宋_GB2312" w:eastAsia="仿宋_GB2312"/>
                      <w:sz w:val="22"/>
                      <w:color w:val="000000"/>
                    </w:rPr>
                    <w:t>贵宾椅含椅套</w:t>
                  </w:r>
                  <w:r>
                    <w:rPr>
                      <w:rFonts w:ascii="仿宋_GB2312" w:hAnsi="仿宋_GB2312" w:cs="仿宋_GB2312" w:eastAsia="仿宋_GB2312"/>
                      <w:sz w:val="22"/>
                      <w:color w:val="000000"/>
                    </w:rPr>
                    <w:t>20把</w:t>
                  </w:r>
                  <w:r>
                    <w:br/>
                  </w:r>
                  <w:r>
                    <w:rPr>
                      <w:rFonts w:ascii="仿宋_GB2312" w:hAnsi="仿宋_GB2312" w:cs="仿宋_GB2312" w:eastAsia="仿宋_GB2312"/>
                      <w:sz w:val="22"/>
                      <w:color w:val="000000"/>
                    </w:rPr>
                    <w:t>单人凳</w:t>
                  </w:r>
                  <w:r>
                    <w:rPr>
                      <w:rFonts w:ascii="仿宋_GB2312" w:hAnsi="仿宋_GB2312" w:cs="仿宋_GB2312" w:eastAsia="仿宋_GB2312"/>
                      <w:sz w:val="22"/>
                      <w:color w:val="000000"/>
                    </w:rPr>
                    <w:t>150把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7"/>
                  <w:vMerge/>
                  <w:tcBorders>
                    <w:top w:val="single" w:color="000000" w:sz="4"/>
                    <w:left w:val="none" w:color="000000" w:sz="4"/>
                    <w:bottom w:val="single" w:color="000000" w:sz="4"/>
                    <w:right w:val="single" w:color="000000" w:sz="4"/>
                  </w:tcBorders>
                </w:tcPr>
                <w:p/>
              </w:tc>
              <w:tc>
                <w:tcPr>
                  <w:tcW w:type="dxa" w:w="88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音频设备</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手持麦克风及麦架</w:t>
                  </w:r>
                  <w:r>
                    <w:rPr>
                      <w:rFonts w:ascii="仿宋_GB2312" w:hAnsi="仿宋_GB2312" w:cs="仿宋_GB2312" w:eastAsia="仿宋_GB2312"/>
                      <w:sz w:val="22"/>
                      <w:color w:val="000000"/>
                    </w:rPr>
                    <w:t>4支</w:t>
                  </w:r>
                  <w:r>
                    <w:br/>
                  </w:r>
                  <w:r>
                    <w:rPr>
                      <w:rFonts w:ascii="仿宋_GB2312" w:hAnsi="仿宋_GB2312" w:cs="仿宋_GB2312" w:eastAsia="仿宋_GB2312"/>
                      <w:sz w:val="22"/>
                      <w:color w:val="000000"/>
                    </w:rPr>
                    <w:t>数字调音台及操控台</w:t>
                  </w:r>
                  <w:r>
                    <w:br/>
                  </w:r>
                  <w:r>
                    <w:rPr>
                      <w:rFonts w:ascii="仿宋_GB2312" w:hAnsi="仿宋_GB2312" w:cs="仿宋_GB2312" w:eastAsia="仿宋_GB2312"/>
                      <w:sz w:val="22"/>
                      <w:color w:val="000000"/>
                    </w:rPr>
                    <w:t>线阵全频音箱</w:t>
                  </w:r>
                  <w:r>
                    <w:rPr>
                      <w:rFonts w:ascii="仿宋_GB2312" w:hAnsi="仿宋_GB2312" w:cs="仿宋_GB2312" w:eastAsia="仿宋_GB2312"/>
                      <w:sz w:val="22"/>
                      <w:color w:val="000000"/>
                    </w:rPr>
                    <w:t>1套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137"/>
                  <w:vMerge/>
                  <w:tcBorders>
                    <w:top w:val="single" w:color="000000" w:sz="4"/>
                    <w:left w:val="none" w:color="000000" w:sz="4"/>
                    <w:bottom w:val="single" w:color="000000" w:sz="4"/>
                    <w:right w:val="single" w:color="000000" w:sz="4"/>
                  </w:tcBorders>
                </w:tcPr>
                <w:p/>
              </w:tc>
              <w:tc>
                <w:tcPr>
                  <w:tcW w:type="dxa" w:w="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摄影摄像</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摄影摄像及剪辑</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137"/>
                  <w:vMerge/>
                  <w:tcBorders>
                    <w:top w:val="singl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主持人</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陕电级</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137"/>
                  <w:vMerge/>
                  <w:tcBorders>
                    <w:top w:val="singl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礼仪</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服务</w:t>
                  </w:r>
                  <w:r>
                    <w:rPr>
                      <w:rFonts w:ascii="仿宋_GB2312" w:hAnsi="仿宋_GB2312" w:cs="仿宋_GB2312" w:eastAsia="仿宋_GB2312"/>
                      <w:sz w:val="22"/>
                      <w:color w:val="000000"/>
                    </w:rPr>
                    <w:t>4人</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137"/>
                  <w:vMerge/>
                  <w:tcBorders>
                    <w:top w:val="single" w:color="000000" w:sz="4"/>
                    <w:left w:val="none" w:color="000000" w:sz="4"/>
                    <w:bottom w:val="single" w:color="000000" w:sz="4"/>
                    <w:right w:val="single" w:color="000000" w:sz="4"/>
                  </w:tcBorders>
                </w:tcPr>
                <w:p/>
              </w:tc>
              <w:tc>
                <w:tcPr>
                  <w:tcW w:type="dxa" w:w="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演出</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现代舞</w:t>
                  </w:r>
                  <w:r>
                    <w:rPr>
                      <w:rFonts w:ascii="仿宋_GB2312" w:hAnsi="仿宋_GB2312" w:cs="仿宋_GB2312" w:eastAsia="仿宋_GB2312"/>
                      <w:sz w:val="22"/>
                      <w:color w:val="000000"/>
                    </w:rPr>
                    <w:t>8人</w:t>
                  </w:r>
                  <w:r>
                    <w:br/>
                  </w:r>
                  <w:r>
                    <w:rPr>
                      <w:rFonts w:ascii="仿宋_GB2312" w:hAnsi="仿宋_GB2312" w:cs="仿宋_GB2312" w:eastAsia="仿宋_GB2312"/>
                      <w:sz w:val="22"/>
                      <w:color w:val="000000"/>
                    </w:rPr>
                    <w:t>魔术</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场</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219"/>
              <w:jc w:val="left"/>
            </w:pPr>
            <w:r>
              <w:rPr>
                <w:rFonts w:ascii="仿宋_GB2312" w:hAnsi="仿宋_GB2312" w:cs="仿宋_GB2312" w:eastAsia="仿宋_GB2312"/>
                <w:sz w:val="21"/>
                <w:b/>
              </w:rPr>
              <w:t>二</w:t>
            </w:r>
            <w:r>
              <w:rPr>
                <w:rFonts w:ascii="仿宋_GB2312" w:hAnsi="仿宋_GB2312" w:cs="仿宋_GB2312" w:eastAsia="仿宋_GB2312"/>
                <w:sz w:val="21"/>
                <w:b/>
              </w:rPr>
              <w:t>、服务要求</w:t>
            </w:r>
          </w:p>
          <w:p>
            <w:pPr>
              <w:pStyle w:val="null3"/>
              <w:ind w:firstLine="218"/>
            </w:pPr>
            <w:r>
              <w:rPr>
                <w:rFonts w:ascii="仿宋_GB2312" w:hAnsi="仿宋_GB2312" w:cs="仿宋_GB2312" w:eastAsia="仿宋_GB2312"/>
                <w:sz w:val="21"/>
              </w:rPr>
              <w:t>服务范围：按照采购人业务需求提供设计并制作宣传素材，</w:t>
            </w:r>
            <w:r>
              <w:rPr>
                <w:rFonts w:ascii="仿宋_GB2312" w:hAnsi="仿宋_GB2312" w:cs="仿宋_GB2312" w:eastAsia="仿宋_GB2312"/>
                <w:sz w:val="21"/>
              </w:rPr>
              <w:t>并提供宣传</w:t>
            </w:r>
            <w:r>
              <w:rPr>
                <w:rFonts w:ascii="仿宋_GB2312" w:hAnsi="仿宋_GB2312" w:cs="仿宋_GB2312" w:eastAsia="仿宋_GB2312"/>
                <w:sz w:val="21"/>
              </w:rPr>
              <w:t>服务。具体内容按竞争性磋商文件和采购人要求确定。</w:t>
            </w:r>
          </w:p>
          <w:p>
            <w:pPr>
              <w:pStyle w:val="null3"/>
              <w:ind w:firstLine="218"/>
            </w:pPr>
            <w:r>
              <w:rPr>
                <w:rFonts w:ascii="仿宋_GB2312" w:hAnsi="仿宋_GB2312" w:cs="仿宋_GB2312" w:eastAsia="仿宋_GB2312"/>
                <w:sz w:val="21"/>
              </w:rPr>
              <w:t>（</w:t>
            </w:r>
            <w:r>
              <w:rPr>
                <w:rFonts w:ascii="仿宋_GB2312" w:hAnsi="仿宋_GB2312" w:cs="仿宋_GB2312" w:eastAsia="仿宋_GB2312"/>
                <w:sz w:val="21"/>
              </w:rPr>
              <w:t>1）策划设计：根据采购人的需求，策划方案，设计素材</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firstLine="218"/>
            </w:pPr>
            <w:r>
              <w:rPr>
                <w:rFonts w:ascii="仿宋_GB2312" w:hAnsi="仿宋_GB2312" w:cs="仿宋_GB2312" w:eastAsia="仿宋_GB2312"/>
                <w:sz w:val="21"/>
              </w:rPr>
              <w:t>（</w:t>
            </w:r>
            <w:r>
              <w:rPr>
                <w:rFonts w:ascii="仿宋_GB2312" w:hAnsi="仿宋_GB2312" w:cs="仿宋_GB2312" w:eastAsia="仿宋_GB2312"/>
                <w:sz w:val="21"/>
              </w:rPr>
              <w:t>2）制作：根据设计方案，制作宣传素材，确保质量和效果。</w:t>
            </w:r>
          </w:p>
          <w:p>
            <w:pPr>
              <w:pStyle w:val="null3"/>
              <w:ind w:firstLine="218"/>
              <w:jc w:val="left"/>
            </w:pPr>
            <w:r>
              <w:rPr>
                <w:rFonts w:ascii="仿宋_GB2312" w:hAnsi="仿宋_GB2312" w:cs="仿宋_GB2312" w:eastAsia="仿宋_GB2312"/>
                <w:sz w:val="21"/>
              </w:rPr>
              <w:t>（</w:t>
            </w:r>
            <w:r>
              <w:rPr>
                <w:rFonts w:ascii="仿宋_GB2312" w:hAnsi="仿宋_GB2312" w:cs="仿宋_GB2312" w:eastAsia="仿宋_GB2312"/>
                <w:sz w:val="21"/>
              </w:rPr>
              <w:t>3）安装：根据采购人的要求，安装宣传素材，确保达到宣传效果。</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宣传：按照采购人的要求，提供</w:t>
            </w:r>
            <w:r>
              <w:rPr>
                <w:rFonts w:ascii="仿宋_GB2312" w:hAnsi="仿宋_GB2312" w:cs="仿宋_GB2312" w:eastAsia="仿宋_GB2312"/>
                <w:sz w:val="21"/>
              </w:rPr>
              <w:t>10个街道及3个商场的宣传工作</w:t>
            </w:r>
            <w:r>
              <w:rPr>
                <w:rFonts w:ascii="仿宋_GB2312" w:hAnsi="仿宋_GB2312" w:cs="仿宋_GB2312" w:eastAsia="仿宋_GB2312"/>
                <w:sz w:val="21"/>
              </w:rPr>
              <w:t>，确保达到宣传</w:t>
            </w:r>
            <w:r>
              <w:rPr>
                <w:rFonts w:ascii="仿宋_GB2312" w:hAnsi="仿宋_GB2312" w:cs="仿宋_GB2312" w:eastAsia="仿宋_GB2312"/>
                <w:sz w:val="21"/>
              </w:rPr>
              <w:t>目的</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219"/>
              <w:jc w:val="left"/>
            </w:pPr>
            <w:r>
              <w:rPr>
                <w:rFonts w:ascii="仿宋_GB2312" w:hAnsi="仿宋_GB2312" w:cs="仿宋_GB2312" w:eastAsia="仿宋_GB2312"/>
                <w:sz w:val="21"/>
                <w:b/>
              </w:rPr>
              <w:t>三</w:t>
            </w:r>
            <w:r>
              <w:rPr>
                <w:rFonts w:ascii="仿宋_GB2312" w:hAnsi="仿宋_GB2312" w:cs="仿宋_GB2312" w:eastAsia="仿宋_GB2312"/>
                <w:sz w:val="21"/>
                <w:b/>
              </w:rPr>
              <w:t>、技术要求</w:t>
            </w:r>
          </w:p>
          <w:p>
            <w:pPr>
              <w:pStyle w:val="null3"/>
              <w:ind w:firstLine="218"/>
            </w:pPr>
            <w:r>
              <w:rPr>
                <w:rFonts w:ascii="仿宋_GB2312" w:hAnsi="仿宋_GB2312" w:cs="仿宋_GB2312" w:eastAsia="仿宋_GB2312"/>
                <w:sz w:val="21"/>
              </w:rPr>
              <w:t>（</w:t>
            </w:r>
            <w:r>
              <w:rPr>
                <w:rFonts w:ascii="仿宋_GB2312" w:hAnsi="仿宋_GB2312" w:cs="仿宋_GB2312" w:eastAsia="仿宋_GB2312"/>
                <w:sz w:val="21"/>
              </w:rPr>
              <w:t>1）宣传内容必须严格遵循政府政策导向，确保信息的准确性；</w:t>
            </w:r>
          </w:p>
          <w:p>
            <w:pPr>
              <w:pStyle w:val="null3"/>
            </w:pPr>
            <w:r>
              <w:rPr>
                <w:rFonts w:ascii="仿宋_GB2312" w:hAnsi="仿宋_GB2312" w:cs="仿宋_GB2312" w:eastAsia="仿宋_GB2312"/>
                <w:sz w:val="21"/>
              </w:rPr>
              <w:t>（</w:t>
            </w:r>
            <w:r>
              <w:rPr>
                <w:rFonts w:ascii="仿宋_GB2312" w:hAnsi="仿宋_GB2312" w:cs="仿宋_GB2312" w:eastAsia="仿宋_GB2312"/>
                <w:sz w:val="21"/>
              </w:rPr>
              <w:t>2）方案需体现创意，能够吸引公众注意，提高宣传效果。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rPr>
              <w:t>四、服务质量：</w:t>
            </w:r>
            <w:r>
              <w:rPr>
                <w:rFonts w:ascii="仿宋_GB2312" w:hAnsi="仿宋_GB2312" w:cs="仿宋_GB2312" w:eastAsia="仿宋_GB2312"/>
                <w:sz w:val="21"/>
              </w:rPr>
              <w:t>合格，满足采购人要求。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1、垃圾分类宣传品供货期：自合同签订之日起30日历天 2、垃圾分类宣传活动：自合同签订之日起至宣传活动完成之日止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验收以本合同及附加文本，磋商文件、成交供应商的响应文件及澄清（承诺函），国家相应的标准、规范为依据。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合同履行完成后经甲方考核验收合格，乙方提交相关结算清单且经甲方确认无误后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详见第八章 拟签订采购合同文本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包括但不限于人工费、宣传费、场地租赁费、材料费、管理费、采购代理服务费、资料费、利润、税金及不可预见费等全部费用。任何有选择的报价将不予接受，否则按无效磋商处理。最终根据实际数量与对应成交单价(按成交供应商二次磋商总报价同比例下浮)据实结算。 2、项目属性：服务。 3、本项目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6、磋商中出现下列情形之一的，磋商小组应当启动异常低价投标(响应)审查程序: （1）投标(响应)报价低于全部通过符合性审查供应商投标(响应)报价平均值50%的，即投标(响应)报价〈全部通过符合性审查供应商投标(响应)报价平均值X50%； （2）投标(响应)报价低于通过符合性审查的次低报价供应商投标(响应)报价50%的，即投标(响应)报价〈通过符合性审查的次低报价供应商投标(响应)报价X50%； （3）投标(响应)报价低于采购项目最高限价45%的，即投标(响应)报价&lt;采购项目最高限价X45%； （4）磋商小组基于专业判断，认为供应商报价过低，有可能影响产品质量或者不能诚信履约的其他情形。 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 7、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经审计的财务会计报告（至少包括审计报告、资产负债表和利润表，成立时间至提交磋商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分项报价表 中小企业声明函 业绩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分项报价表 中小企业声明函 业绩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分项报价表 标的清单 商务条款偏离表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分项报价表 标的清单 商务条款偏离表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设计、产品制作方案</w:t>
            </w:r>
          </w:p>
        </w:tc>
        <w:tc>
          <w:tcPr>
            <w:tcW w:type="dxa" w:w="2492"/>
          </w:tcPr>
          <w:p>
            <w:pPr>
              <w:pStyle w:val="null3"/>
            </w:pPr>
            <w:r>
              <w:rPr>
                <w:rFonts w:ascii="仿宋_GB2312" w:hAnsi="仿宋_GB2312" w:cs="仿宋_GB2312" w:eastAsia="仿宋_GB2312"/>
              </w:rPr>
              <w:t>一、评审内容 提供针对本项目的设计、产品制作方案，内容至少包括:①设计思路及规范；②宣传品整体制作方案；③生产工艺及标准；④宣传品运输方案；⑤宣传品安装方案。 二、评审标准 1、完整性：方案必须全面，对评审内容中的各项要求有详细描述； 2、可实施性：切合本项目实际情况，提出步骤清晰、合理的方案； 3、针对性：方案能够紧扣项目实际情况，内容科学合理。 三、赋分标准（满分15分） ①设计思路及规范：每完全满足一个评审标准得1分，满分3分； ②宣传品整体制作方案:每完全满足一个评审标准得1分，满分3分； ③生产工艺及标准:每完全满足一个评审标准得1分，满分3分； ④宣传品运输方案:每完全满足一个评审标准得1分，满分3分； ⑤宣传品安装方案:每完全满足一个评审标准得1分，满分3分。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宣传服务方案</w:t>
            </w:r>
          </w:p>
        </w:tc>
        <w:tc>
          <w:tcPr>
            <w:tcW w:type="dxa" w:w="2492"/>
          </w:tcPr>
          <w:p>
            <w:pPr>
              <w:pStyle w:val="null3"/>
            </w:pPr>
            <w:r>
              <w:rPr>
                <w:rFonts w:ascii="仿宋_GB2312" w:hAnsi="仿宋_GB2312" w:cs="仿宋_GB2312" w:eastAsia="仿宋_GB2312"/>
              </w:rPr>
              <w:t>一、评审内容 提供针对本项目的项目宣传服务方案，内容至少包括:①宣传活动策划方案；②现场活动管理方案；③场地搭建方案；④活动现场安全保障方案；⑤场地租赁协调方案。 二、评审标准 1、完整性：方案必须全面，对评审内容中的各项要求有详细描述； 2、可实施性：切合本项目实际情况，提出步骤清晰、合理的方案； 3、针对性：方案能够紧扣项目实际情况，内容科学合理。 三、赋分标准（满分15分） ①宣传活动策划方案:每完全满足一个评审标准得1分，满分3分； ⑦现场活动管理方案:每完全满足一个评审标准得1分，满分3分； ③场地搭建方案:每完全满足一个评审标准得1分，满分3分； ④活动现场安全保障方案:每完全满足一个评审标准得1分，满分3分； ⑤场地租赁协调方案:每完全满足一个评审标准得1分，满分3分。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供应商针对本项目提供完整的进度保证措施，内容至少包括：①项目实施进度目标分析；②项目进度保障措施。 二、评审标准 1、完整性：方案必须全面，对评审内容中的各项要求有详细描述； 2、可实施性：切合本项目实际情况，提出步骤清晰、合理的方案； 3、针对性：方案能够紧扣项目实际情况，内容科学合理。 三、赋分标准（满分6分） ①项目实施进度目标分析：每完全满足一个评审标准得1分，满分3分； ②项目进度保障措施:每完全满足一个评审标准得1分，满分3分。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供应商针对本项目提供完整的质量保证措施，内容至少包括：①质量过程控制；②成果质量保证措施等。 二、评审标准 1、完整性：方案必须全面，对评审内容中的各项要求有详细描述； 2、可实施性：切合本项目实际情况，提出步骤清晰、合理的方案； 3、针对性：方案能够紧扣项目实际情况，内容科学合理。 三、赋分标准（满分6分） ①质量过程控制:每完全满足一个评审标准得1分，满分3分； ②成果质量保证措施:每完全满足一个评审标准得1分，满分3分。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项目团队及设备配置</w:t>
            </w:r>
          </w:p>
        </w:tc>
        <w:tc>
          <w:tcPr>
            <w:tcW w:type="dxa" w:w="2492"/>
          </w:tcPr>
          <w:p>
            <w:pPr>
              <w:pStyle w:val="null3"/>
            </w:pPr>
            <w:r>
              <w:rPr>
                <w:rFonts w:ascii="仿宋_GB2312" w:hAnsi="仿宋_GB2312" w:cs="仿宋_GB2312" w:eastAsia="仿宋_GB2312"/>
              </w:rPr>
              <w:t>一、评审内容 项目团队及设备配置，内容至少包括：①团队人员配置；②人员职责划分方案；③人员管理制度；④拟投入的仪器设备方案。 二、评审标准 1.完整性：方案须全面，对评审内容中的各项要求有详细描述； 2.专业性：人员相关岗位经验丰富，切合本项目实际情况。 3.针对性：人员数量充足，人员资格/年龄等符合采购需求； 三、赋分标准（满分12分） ①团队人员配置：每完全满足一个评审标准得1分，满分3分； ②人员职责划分方案:每完全满足一个评审标准得1分，满分3分； ③人员管理制度:每完全满足一个评审标准得1分，满分3分； ④拟投入的仪器设备方案:每完全满足一个评审标准得1分，满分3分。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供应商根据本项目完整的应急预案，内容包含：①紧急项目需求；②各阶段补救措施；③产品质量残次、残损等情况的措施。 二、评审标准 1、完整性：方案必须全面，对评审内容中的各项要求有详细描述； 2、可实施性：切合本项目实际情况，提出步骤清晰、合理的方案； 3、针对性：方案能够紧扣项目实际情况，内容科学合理。 三、赋分标准（满分7.5分） ①紧急项目需求：每完全满足一个评审标准得1分，满分3分； ②各阶段补救措施:每完全满足一个评审标准得1分，满分3分； ③产品质量残次、残损等情况的措施：每完全满足一个评审标准得0.5分，满分1.5分。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对能够完成本项目工作的服务承诺，包括不限于①对本项目进度、时限、文件质量等做出承诺；②对服务时限内团队稳定性、人员到位情况等相关内容做出承诺；③服务质量承诺。 二、评审标准 1、完整性：方案必须全面，对评审内容中的各项要求有详细描述； 2、可实施性：切合本项目实际情况，提出步骤清晰、合理的方案； 3、针对性：方案能够紧扣项目实际情况，内容科学合理。 三、赋分标准（满分4.5分） ①对本项目进度、时限、成果文件质量等做出承诺：每完全满足一个评审标准得0.5分，满分1.5分； ②对服务时限内团队稳定性、人员到位情况等相关内容做出承诺:每完全满足一个评审标准得0.5分，满分1.5分； ③服务质量承诺:每完全满足一个评审标准得0.5分，满分1.5分。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供应商提供2023年1月1日至今（以合同签订时间为准）的类似项目业绩，业绩以合同关键页复印件为依据，响应文件中附有其证明资料，每提供一个业绩证明计2分，满分4分。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2.满足磋商文件实质性要求且最终报价最低的供应商的价格为磋商基准价，其价格分为满分30分。 3.磋商报价得分=（磋商基准价/最终磋商报价）×30的公式计算得分。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