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版本号：SXDXYZB2026-03-0220260429001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未央区数字化城市管理监督指挥系统有线及无线传输租赁及维护项目(2026-2027)</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SXDXYZB2026-03-02</w:t>
      </w:r>
      <w:r>
        <w:br/>
      </w:r>
      <w:r>
        <w:br/>
      </w:r>
      <w:r>
        <w:br/>
      </w:r>
    </w:p>
    <w:p>
      <w:pPr>
        <w:pStyle w:val="null3"/>
        <w:jc w:val="center"/>
        <w:outlineLvl w:val="2"/>
      </w:pPr>
      <w:r>
        <w:rPr>
          <w:rFonts w:ascii="仿宋_GB2312" w:hAnsi="仿宋_GB2312" w:cs="仿宋_GB2312" w:eastAsia="仿宋_GB2312"/>
          <w:sz w:val="28"/>
          <w:b/>
        </w:rPr>
        <w:t>西安市未央区城市管理和综合执法局</w:t>
      </w:r>
    </w:p>
    <w:p>
      <w:pPr>
        <w:pStyle w:val="null3"/>
        <w:jc w:val="center"/>
        <w:outlineLvl w:val="2"/>
      </w:pPr>
      <w:r>
        <w:rPr>
          <w:rFonts w:ascii="仿宋_GB2312" w:hAnsi="仿宋_GB2312" w:cs="仿宋_GB2312" w:eastAsia="仿宋_GB2312"/>
          <w:sz w:val="28"/>
          <w:b/>
        </w:rPr>
        <w:t>陕西德欣源项目管理有限公司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陕西德欣源项目管理有限公司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西安市未央区城市管理和综合执法局</w:t>
      </w:r>
      <w:r>
        <w:rPr>
          <w:rFonts w:ascii="仿宋_GB2312" w:hAnsi="仿宋_GB2312" w:cs="仿宋_GB2312" w:eastAsia="仿宋_GB2312"/>
        </w:rPr>
        <w:t>委托，拟对</w:t>
      </w:r>
      <w:r>
        <w:rPr>
          <w:rFonts w:ascii="仿宋_GB2312" w:hAnsi="仿宋_GB2312" w:cs="仿宋_GB2312" w:eastAsia="仿宋_GB2312"/>
        </w:rPr>
        <w:t>未央区数字化城市管理监督指挥系统有线及无线传输租赁及维护项目(2026-2027)</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SXDXYZB2026-03-02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未央区数字化城市管理监督指挥系统有线及无线传输租赁及维护项目(2026-2027)</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未央区数字化城市管理监督指挥系统有线及无线传输租赁及维护项目对数字化城市管理监督指挥系统的有线及无线传输进行租赁及维护。负责对约定租用的所有有线及无线线路进行维护、维修。保证出租的线路的质量和服务水平符合工业和信息化部的标准和规定，线路维护依照通信行业相关标准及相关服务级别要求执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采购包1（未央区数字化城市管理监督指挥系统有线及无线传输租赁及维护项目(2026-2027)）：属于专门面向中小企业采购。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pPr>
        <w:pStyle w:val="null3"/>
      </w:pPr>
      <w:r>
        <w:rPr>
          <w:rFonts w:ascii="仿宋_GB2312" w:hAnsi="仿宋_GB2312" w:cs="仿宋_GB2312" w:eastAsia="仿宋_GB2312"/>
        </w:rPr>
        <w:t>3、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pPr>
        <w:pStyle w:val="null3"/>
      </w:pPr>
      <w:r>
        <w:rPr>
          <w:rFonts w:ascii="仿宋_GB2312" w:hAnsi="仿宋_GB2312" w:cs="仿宋_GB2312" w:eastAsia="仿宋_GB2312"/>
        </w:rPr>
        <w:t>4、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pPr>
        <w:pStyle w:val="null3"/>
      </w:pPr>
      <w:r>
        <w:rPr>
          <w:rFonts w:ascii="仿宋_GB2312" w:hAnsi="仿宋_GB2312" w:cs="仿宋_GB2312" w:eastAsia="仿宋_GB2312"/>
        </w:rPr>
        <w:t>5、无重大违法记录声明：提供参加本次政府采购活动前3年内在经营活动中没有重大违法记录的书面声明。</w:t>
      </w:r>
    </w:p>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7、具有履行合同所必需的设备和专业技术能力：提供具有履行合同所必需的设备和专业技术能力声明。</w:t>
      </w:r>
    </w:p>
    <w:p>
      <w:pPr>
        <w:pStyle w:val="null3"/>
      </w:pPr>
      <w:r>
        <w:rPr>
          <w:rFonts w:ascii="仿宋_GB2312" w:hAnsi="仿宋_GB2312" w:cs="仿宋_GB2312" w:eastAsia="仿宋_GB2312"/>
        </w:rPr>
        <w:t>8、法定代表人授权委托书：法定代表人参加投标的，须提供本人身份证复印件(附在资格证明资料中)； 法定代表人（主要负责人）委托代理人参加投标时，应提供法定代表人（主要负责人）委托授权书及代理人本单位证明（响应文件提交截止日前六个月内任意一个月社会保险缴纳证明）。 磋商响应文件中凡是需要法定代表人盖章之处，非法人单位的负责人均参照执行。法人的分支机构参与投标时，除提供《法定代表人授权委托书》外，还须同时提供法人给分支机构出具的授权书。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9、本项目不接受联合体投标，不允许分包：供应商应提供《非联合体不分包投标声明》，视为独立投标，不分包。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陕西省西安市未央区连心路51号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029-86116536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陕西德欣源项目管理有限公司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陕西省西安市未央区陕西省西安市经济技术开发区文景路一方中港国际B座1701室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029-86109738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采购包1：489,860.00元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采购）代理服务费参照国家计委关于印发《招标代理服务收费管理暂行办法》的通知（计价格〔2002〕1980号）、《国家发展和改革委员会办公厅关于招标代理服务收费有关问题的通知》（发改办价格〔2003〕857号）标准，以实际中标（成交）金额为准确定招标代理服务费。代理服务费账号信息如下： 公司名称：陕西德欣源项目管理有限公司， 开户行：中国建设银行股份有限公司西安凤城七路支行， 账号：61050110309109999888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西安市未央区城市管理和综合执法局</w:t>
      </w:r>
      <w:r>
        <w:rPr>
          <w:rFonts w:ascii="仿宋_GB2312" w:hAnsi="仿宋_GB2312" w:cs="仿宋_GB2312" w:eastAsia="仿宋_GB2312"/>
        </w:rPr>
        <w:t>和</w:t>
      </w:r>
      <w:r>
        <w:rPr>
          <w:rFonts w:ascii="仿宋_GB2312" w:hAnsi="仿宋_GB2312" w:cs="仿宋_GB2312" w:eastAsia="仿宋_GB2312"/>
        </w:rPr>
        <w:t>陕西德欣源项目管理有限公司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陕西德欣源项目管理有限公司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陕西德欣源项目管理有限公司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联系人：王玉</w:t>
      </w:r>
    </w:p>
    <w:p>
      <w:pPr>
        <w:pStyle w:val="null3"/>
      </w:pPr>
      <w:r>
        <w:rPr>
          <w:rFonts w:ascii="仿宋_GB2312" w:hAnsi="仿宋_GB2312" w:cs="仿宋_GB2312" w:eastAsia="仿宋_GB2312"/>
        </w:rPr>
        <w:t>联系电话：029-86109738</w:t>
      </w:r>
    </w:p>
    <w:p>
      <w:pPr>
        <w:pStyle w:val="null3"/>
      </w:pPr>
      <w:r>
        <w:rPr>
          <w:rFonts w:ascii="仿宋_GB2312" w:hAnsi="仿宋_GB2312" w:cs="仿宋_GB2312" w:eastAsia="仿宋_GB2312"/>
        </w:rPr>
        <w:t>地址：陕西省西安市经济技术开发区文景路一方中港国际B座1701室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区数字化城市管理监督指挥系统有线及无线传输租赁及维护项目对数字化城市管理监督指挥系统的有线及无线传输进行租赁及维护。负责对约定租用的所有有线及无线线路进行维护、维修。保证出租的线路的质量和服务水平符合工业和信息化部的标准和规定，线路维护依照通信行业相关标准及相关服务级别要求执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489,860.00</w:t>
      </w:r>
    </w:p>
    <w:p>
      <w:pPr>
        <w:pStyle w:val="null3"/>
      </w:pPr>
      <w:r>
        <w:rPr>
          <w:rFonts w:ascii="仿宋_GB2312" w:hAnsi="仿宋_GB2312" w:cs="仿宋_GB2312" w:eastAsia="仿宋_GB2312"/>
        </w:rPr>
        <w:t>采购包最高限价（元）: 489,860.00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未央区数字化城市管理监督指挥系统有线及无线传输租赁及维护项目(2026-2027)</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489,860.00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标的名称：未央区数字化城市管理监督指挥系统有线及无线传输租赁及维护项目(2026-2027)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一、服务期限</w:t>
            </w:r>
            <w:r>
              <w:rPr>
                <w:rFonts w:ascii="仿宋_GB2312" w:hAnsi="仿宋_GB2312" w:cs="仿宋_GB2312" w:eastAsia="仿宋_GB2312"/>
                <w:sz w:val="20"/>
              </w:rPr>
              <w:t>：</w:t>
            </w:r>
            <w:r>
              <w:rPr>
                <w:rFonts w:ascii="仿宋_GB2312" w:hAnsi="仿宋_GB2312" w:cs="仿宋_GB2312" w:eastAsia="仿宋_GB2312"/>
                <w:sz w:val="24"/>
              </w:rPr>
              <w:t>合同服务期限</w:t>
            </w:r>
            <w:r>
              <w:rPr>
                <w:rFonts w:ascii="仿宋_GB2312" w:hAnsi="仿宋_GB2312" w:cs="仿宋_GB2312" w:eastAsia="仿宋_GB2312"/>
                <w:sz w:val="24"/>
              </w:rPr>
              <w:t>1年</w:t>
            </w:r>
          </w:p>
          <w:p>
            <w:pPr>
              <w:pStyle w:val="null3"/>
              <w:jc w:val="both"/>
            </w:pPr>
            <w:r>
              <w:rPr>
                <w:rFonts w:ascii="仿宋_GB2312" w:hAnsi="仿宋_GB2312" w:cs="仿宋_GB2312" w:eastAsia="仿宋_GB2312"/>
                <w:sz w:val="20"/>
                <w:b/>
              </w:rPr>
              <w:t>二、服务内容</w:t>
            </w:r>
            <w:r>
              <w:rPr>
                <w:rFonts w:ascii="仿宋_GB2312" w:hAnsi="仿宋_GB2312" w:cs="仿宋_GB2312" w:eastAsia="仿宋_GB2312"/>
                <w:sz w:val="20"/>
              </w:rPr>
              <w:t>：数字化城管监督指挥系统通信租赁</w:t>
            </w:r>
          </w:p>
          <w:p>
            <w:pPr>
              <w:pStyle w:val="null3"/>
              <w:ind w:firstLine="573"/>
              <w:jc w:val="both"/>
            </w:pPr>
            <w:r>
              <w:rPr>
                <w:rFonts w:ascii="仿宋_GB2312" w:hAnsi="仿宋_GB2312" w:cs="仿宋_GB2312" w:eastAsia="仿宋_GB2312"/>
                <w:sz w:val="20"/>
                <w:b/>
              </w:rPr>
              <w:t>1、租赁及维护范围</w:t>
            </w:r>
          </w:p>
          <w:tbl>
            <w:tblPr>
              <w:tblInd w:type="dxa" w:w="195"/>
              <w:tblBorders>
                <w:top w:val="none" w:color="000000" w:sz="4"/>
                <w:left w:val="none" w:color="000000" w:sz="4"/>
                <w:bottom w:val="none" w:color="000000" w:sz="4"/>
                <w:right w:val="none" w:color="000000" w:sz="4"/>
                <w:insideH w:val="none"/>
                <w:insideV w:val="none"/>
              </w:tblBorders>
            </w:tblPr>
            <w:tblGrid>
              <w:gridCol w:w="195"/>
              <w:gridCol w:w="356"/>
              <w:gridCol w:w="692"/>
              <w:gridCol w:w="279"/>
              <w:gridCol w:w="265"/>
              <w:gridCol w:w="258"/>
              <w:gridCol w:w="482"/>
            </w:tblGrid>
            <w:tr>
              <w:tc>
                <w:tcPr>
                  <w:tcW w:type="dxa" w:w="2527"/>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传</w:t>
                  </w:r>
                  <w:r>
                    <w:rPr>
                      <w:rFonts w:ascii="仿宋_GB2312" w:hAnsi="仿宋_GB2312" w:cs="仿宋_GB2312" w:eastAsia="仿宋_GB2312"/>
                      <w:sz w:val="21"/>
                      <w:b/>
                    </w:rPr>
                    <w:t>输</w:t>
                  </w:r>
                  <w:r>
                    <w:rPr>
                      <w:rFonts w:ascii="仿宋_GB2312" w:hAnsi="仿宋_GB2312" w:cs="仿宋_GB2312" w:eastAsia="仿宋_GB2312"/>
                      <w:sz w:val="21"/>
                      <w:b/>
                    </w:rPr>
                    <w:t>清</w:t>
                  </w:r>
                  <w:r>
                    <w:rPr>
                      <w:rFonts w:ascii="仿宋_GB2312" w:hAnsi="仿宋_GB2312" w:cs="仿宋_GB2312" w:eastAsia="仿宋_GB2312"/>
                      <w:sz w:val="21"/>
                      <w:b/>
                    </w:rPr>
                    <w:t>单</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w:t>
                  </w:r>
                </w:p>
                <w:p>
                  <w:pPr>
                    <w:pStyle w:val="null3"/>
                    <w:jc w:val="center"/>
                  </w:pPr>
                  <w:r>
                    <w:rPr>
                      <w:rFonts w:ascii="仿宋_GB2312" w:hAnsi="仿宋_GB2312" w:cs="仿宋_GB2312" w:eastAsia="仿宋_GB2312"/>
                      <w:sz w:val="21"/>
                      <w:b/>
                    </w:rPr>
                    <w:t>名称</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规格型号</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产地</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监督指挥中心互联网专线</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150M互联网专线，用于指挥大厅访问服务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监督指挥中心专线</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100M数据专线用于接入16个分平台应用访问</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满足现有</w:t>
                  </w:r>
                  <w:r>
                    <w:rPr>
                      <w:rFonts w:ascii="仿宋_GB2312" w:hAnsi="仿宋_GB2312" w:cs="仿宋_GB2312" w:eastAsia="仿宋_GB2312"/>
                      <w:sz w:val="21"/>
                    </w:rPr>
                    <w:t>16个分平台应用访问</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PDA专线</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100M用于443部城管通与指挥中心通讯</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满足</w:t>
                  </w:r>
                  <w:r>
                    <w:rPr>
                      <w:rFonts w:ascii="仿宋_GB2312" w:hAnsi="仿宋_GB2312" w:cs="仿宋_GB2312" w:eastAsia="仿宋_GB2312"/>
                      <w:sz w:val="21"/>
                    </w:rPr>
                    <w:t>443部城管通VPN通讯业务</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对讲机平台专线</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50M用于对讲机平台与对讲机的通讯</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满足现有</w:t>
                  </w:r>
                  <w:r>
                    <w:rPr>
                      <w:rFonts w:ascii="仿宋_GB2312" w:hAnsi="仿宋_GB2312" w:cs="仿宋_GB2312" w:eastAsia="仿宋_GB2312"/>
                      <w:sz w:val="21"/>
                    </w:rPr>
                    <w:t>422部对讲机通讯业务</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防火墙</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接口：</w:t>
                  </w:r>
                  <w:r>
                    <w:rPr>
                      <w:rFonts w:ascii="仿宋_GB2312" w:hAnsi="仿宋_GB2312" w:cs="仿宋_GB2312" w:eastAsia="仿宋_GB2312"/>
                      <w:sz w:val="21"/>
                      <w:b/>
                    </w:rPr>
                    <w:t>2*GE WAN+8*GE Combo+2*10GE SFP;吞吐量：2G;最大用户数：500；含AV、IPS特征库、URL远程升级等功能。</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维护该设备正常运转</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点对点传输线路</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连接指挥中心与</w:t>
                  </w:r>
                  <w:r>
                    <w:rPr>
                      <w:rFonts w:ascii="仿宋_GB2312" w:hAnsi="仿宋_GB2312" w:cs="仿宋_GB2312" w:eastAsia="仿宋_GB2312"/>
                      <w:sz w:val="21"/>
                    </w:rPr>
                    <w:t>16个分平台系统传输</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带宽</w:t>
                  </w:r>
                  <w:r>
                    <w:rPr>
                      <w:rFonts w:ascii="仿宋_GB2312" w:hAnsi="仿宋_GB2312" w:cs="仿宋_GB2312" w:eastAsia="仿宋_GB2312"/>
                      <w:sz w:val="21"/>
                    </w:rPr>
                    <w:t>4M及以上</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点对点传输线路</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连接指挥中心与</w:t>
                  </w:r>
                  <w:r>
                    <w:rPr>
                      <w:rFonts w:ascii="仿宋_GB2312" w:hAnsi="仿宋_GB2312" w:cs="仿宋_GB2312" w:eastAsia="仿宋_GB2312"/>
                      <w:sz w:val="21"/>
                    </w:rPr>
                    <w:t>16个监控点设备的传输</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≥10兆，满足视频流畅传输，不卡顿。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点对点传输线路</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连接指挥中心与</w:t>
                  </w:r>
                  <w:r>
                    <w:rPr>
                      <w:rFonts w:ascii="仿宋_GB2312" w:hAnsi="仿宋_GB2312" w:cs="仿宋_GB2312" w:eastAsia="仿宋_GB2312"/>
                      <w:sz w:val="21"/>
                    </w:rPr>
                    <w:t>13个涵洞监控点设备的传输</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≥10兆，满足视频流畅传输，不卡顿。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4G/5G 流量卡</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流量卡（每张卡每月</w:t>
                  </w:r>
                  <w:r>
                    <w:rPr>
                      <w:rFonts w:ascii="仿宋_GB2312" w:hAnsi="仿宋_GB2312" w:cs="仿宋_GB2312" w:eastAsia="仿宋_GB2312"/>
                      <w:sz w:val="21"/>
                    </w:rPr>
                    <w:t>40G流量）</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61张*40G*12月=29280G（共用流量池）中标单位负责安装，调试。</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4G/5G 流量卡</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422部对讲机流量卡</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满足</w:t>
                  </w:r>
                  <w:r>
                    <w:rPr>
                      <w:rFonts w:ascii="仿宋_GB2312" w:hAnsi="仿宋_GB2312" w:cs="仿宋_GB2312" w:eastAsia="仿宋_GB2312"/>
                      <w:sz w:val="21"/>
                    </w:rPr>
                    <w:t>422部对讲机365天通讯业务，每张卡每年不少于50G。</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4G/5G传输设备</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w:t>
                  </w:r>
                  <w:r>
                    <w:rPr>
                      <w:rFonts w:ascii="仿宋_GB2312" w:hAnsi="仿宋_GB2312" w:cs="仿宋_GB2312" w:eastAsia="仿宋_GB2312"/>
                      <w:sz w:val="21"/>
                    </w:rPr>
                    <w:t>4G/5G传输设备</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中标单位负责维护设备正常运转，调试路面监控</w:t>
                  </w:r>
                  <w:r>
                    <w:rPr>
                      <w:rFonts w:ascii="仿宋_GB2312" w:hAnsi="仿宋_GB2312" w:cs="仿宋_GB2312" w:eastAsia="仿宋_GB2312"/>
                      <w:sz w:val="21"/>
                    </w:rPr>
                    <w:t>34，垃圾站17，积水点10。</w:t>
                  </w:r>
                </w:p>
              </w:tc>
            </w:tr>
          </w:tbl>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）第</w:t>
            </w:r>
            <w:r>
              <w:rPr>
                <w:rFonts w:ascii="仿宋_GB2312" w:hAnsi="仿宋_GB2312" w:cs="仿宋_GB2312" w:eastAsia="仿宋_GB2312"/>
                <w:sz w:val="21"/>
                <w:b/>
              </w:rPr>
              <w:t>9</w:t>
            </w:r>
            <w:r>
              <w:rPr>
                <w:rFonts w:ascii="仿宋_GB2312" w:hAnsi="仿宋_GB2312" w:cs="仿宋_GB2312" w:eastAsia="仿宋_GB2312"/>
                <w:sz w:val="21"/>
                <w:b/>
              </w:rPr>
              <w:t>项、第</w:t>
            </w:r>
            <w:r>
              <w:rPr>
                <w:rFonts w:ascii="仿宋_GB2312" w:hAnsi="仿宋_GB2312" w:cs="仿宋_GB2312" w:eastAsia="仿宋_GB2312"/>
                <w:sz w:val="21"/>
                <w:b/>
              </w:rPr>
              <w:t>11</w:t>
            </w:r>
            <w:r>
              <w:rPr>
                <w:rFonts w:ascii="仿宋_GB2312" w:hAnsi="仿宋_GB2312" w:cs="仿宋_GB2312" w:eastAsia="仿宋_GB2312"/>
                <w:sz w:val="21"/>
                <w:b/>
              </w:rPr>
              <w:t>项</w:t>
            </w:r>
            <w:r>
              <w:rPr>
                <w:rFonts w:ascii="仿宋_GB2312" w:hAnsi="仿宋_GB2312" w:cs="仿宋_GB2312" w:eastAsia="仿宋_GB2312"/>
                <w:sz w:val="21"/>
                <w:b/>
              </w:rPr>
              <w:t>按照实际发生结算，</w:t>
            </w:r>
            <w:r>
              <w:rPr>
                <w:rFonts w:ascii="仿宋_GB2312" w:hAnsi="仿宋_GB2312" w:cs="仿宋_GB2312" w:eastAsia="仿宋_GB2312"/>
                <w:sz w:val="21"/>
                <w:b/>
              </w:rPr>
              <w:t>供应商</w:t>
            </w:r>
            <w:r>
              <w:rPr>
                <w:rFonts w:ascii="仿宋_GB2312" w:hAnsi="仿宋_GB2312" w:cs="仿宋_GB2312" w:eastAsia="仿宋_GB2312"/>
                <w:sz w:val="21"/>
                <w:b/>
              </w:rPr>
              <w:t>报</w:t>
            </w:r>
            <w:r>
              <w:rPr>
                <w:rFonts w:ascii="仿宋_GB2312" w:hAnsi="仿宋_GB2312" w:cs="仿宋_GB2312" w:eastAsia="仿宋_GB2312"/>
                <w:sz w:val="21"/>
                <w:b/>
              </w:rPr>
              <w:t>清单</w:t>
            </w:r>
            <w:r>
              <w:rPr>
                <w:rFonts w:ascii="仿宋_GB2312" w:hAnsi="仿宋_GB2312" w:cs="仿宋_GB2312" w:eastAsia="仿宋_GB2312"/>
                <w:sz w:val="21"/>
                <w:b/>
              </w:rPr>
              <w:t>，</w:t>
            </w:r>
            <w:r>
              <w:rPr>
                <w:rFonts w:ascii="仿宋_GB2312" w:hAnsi="仿宋_GB2312" w:cs="仿宋_GB2312" w:eastAsia="仿宋_GB2312"/>
                <w:sz w:val="21"/>
                <w:b/>
              </w:rPr>
              <w:t>采购人</w:t>
            </w:r>
            <w:r>
              <w:rPr>
                <w:rFonts w:ascii="仿宋_GB2312" w:hAnsi="仿宋_GB2312" w:cs="仿宋_GB2312" w:eastAsia="仿宋_GB2312"/>
                <w:sz w:val="21"/>
                <w:b/>
              </w:rPr>
              <w:t>确认。</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、租赁及服务内容</w:t>
            </w:r>
          </w:p>
          <w:p>
            <w:pPr>
              <w:pStyle w:val="null3"/>
              <w:ind w:firstLine="420"/>
              <w:jc w:val="both"/>
            </w:pPr>
            <w:r>
              <w:rPr>
                <w:rFonts w:ascii="仿宋_GB2312" w:hAnsi="仿宋_GB2312" w:cs="仿宋_GB2312" w:eastAsia="仿宋_GB2312"/>
                <w:sz w:val="21"/>
              </w:rPr>
              <w:t>(1)负责对约定租用的所有有线及无线线路进行维护、维修。</w:t>
            </w:r>
          </w:p>
          <w:p>
            <w:pPr>
              <w:pStyle w:val="null3"/>
              <w:ind w:firstLine="420"/>
              <w:jc w:val="both"/>
            </w:pPr>
            <w:r>
              <w:rPr>
                <w:rFonts w:ascii="仿宋_GB2312" w:hAnsi="仿宋_GB2312" w:cs="仿宋_GB2312" w:eastAsia="仿宋_GB2312"/>
                <w:sz w:val="21"/>
              </w:rPr>
              <w:t>(2)保证出租的线路的质量和服务水平符合工业和信息化部的标准和规定，线路维护依照通信行业相关标准及相关服务级别要求执行。</w:t>
            </w:r>
          </w:p>
          <w:p>
            <w:pPr>
              <w:pStyle w:val="null3"/>
              <w:ind w:firstLine="420"/>
              <w:jc w:val="both"/>
            </w:pPr>
            <w:r>
              <w:rPr>
                <w:rFonts w:ascii="仿宋_GB2312" w:hAnsi="仿宋_GB2312" w:cs="仿宋_GB2312" w:eastAsia="仿宋_GB2312"/>
                <w:sz w:val="21"/>
              </w:rPr>
              <w:t>(3)保证出租所有有线及无线线路的质量达到规定要求，并及时维护检修，确保用户方正常使用。若线路出现故障，应迅速组织抢修，其费用包含在租赁维护费中。</w:t>
            </w:r>
          </w:p>
          <w:p>
            <w:pPr>
              <w:pStyle w:val="null3"/>
              <w:ind w:firstLine="420"/>
              <w:jc w:val="both"/>
            </w:pPr>
            <w:r>
              <w:rPr>
                <w:rFonts w:ascii="仿宋_GB2312" w:hAnsi="仿宋_GB2312" w:cs="仿宋_GB2312" w:eastAsia="仿宋_GB2312"/>
                <w:sz w:val="21"/>
              </w:rPr>
              <w:t>(4)非用户方的原因造成传输线路的中断，负责对恢复。负责向用户所提供线路以及相关设备的定期检查、日常维护、修缮及保养，加强值班和监测，保证线路不中断，当线路发生故障时，应及时通知用户方并及时修复。</w:t>
            </w:r>
          </w:p>
          <w:p>
            <w:pPr>
              <w:pStyle w:val="null3"/>
              <w:ind w:firstLine="420"/>
              <w:jc w:val="both"/>
            </w:pPr>
            <w:r>
              <w:rPr>
                <w:rFonts w:ascii="仿宋_GB2312" w:hAnsi="仿宋_GB2312" w:cs="仿宋_GB2312" w:eastAsia="仿宋_GB2312"/>
                <w:sz w:val="21"/>
              </w:rPr>
              <w:t>(5)尽可能采用各种有效方式组织用户方租用光纤线路的通路，最大限度的保障线路的安全运行。由于割接、维修等正常计划原因需中断租用的线路时，应在72小时前通知用户方，并安排相应措施尽量保证该光纤线路的畅通。</w:t>
            </w:r>
          </w:p>
          <w:p>
            <w:pPr>
              <w:pStyle w:val="null3"/>
              <w:ind w:firstLine="420"/>
              <w:jc w:val="both"/>
            </w:pPr>
            <w:r>
              <w:rPr>
                <w:rFonts w:ascii="仿宋_GB2312" w:hAnsi="仿宋_GB2312" w:cs="仿宋_GB2312" w:eastAsia="仿宋_GB2312"/>
                <w:sz w:val="21"/>
              </w:rPr>
              <w:t>3、施工周期：合同签订之日起30个自然日内全部竣工交付</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4.无条件免费配合我局实施的“未央区城市运行管理服务平台建设”项目，包括本次招标所包含的所有硬件、软件、传输的迁移工作。</w:t>
            </w:r>
          </w:p>
          <w:p>
            <w:pPr>
              <w:pStyle w:val="null3"/>
              <w:ind w:firstLine="422"/>
              <w:jc w:val="both"/>
            </w:pPr>
            <w:r>
              <w:rPr>
                <w:rFonts w:ascii="仿宋_GB2312" w:hAnsi="仿宋_GB2312" w:cs="仿宋_GB2312" w:eastAsia="仿宋_GB2312"/>
                <w:sz w:val="21"/>
                <w:b/>
              </w:rPr>
              <w:t>三、技术要求</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、线路技术参数要求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1）互联网光纤技术规范要求</w:t>
            </w:r>
          </w:p>
          <w:tbl>
            <w:tblPr>
              <w:tblBorders>
                <w:top w:val="none" w:color="000000" w:sz="4"/>
                <w:left w:val="none" w:color="000000" w:sz="4"/>
                <w:bottom w:val="none" w:color="000000" w:sz="4"/>
                <w:right w:val="none" w:color="000000" w:sz="4"/>
                <w:insideH w:val="none"/>
                <w:insideV w:val="none"/>
              </w:tblBorders>
            </w:tblPr>
            <w:tblGrid>
              <w:gridCol w:w="222"/>
              <w:gridCol w:w="272"/>
              <w:gridCol w:w="602"/>
              <w:gridCol w:w="982"/>
              <w:gridCol w:w="458"/>
            </w:tblGrid>
            <w:tr>
              <w:tc>
                <w:tcPr>
                  <w:tcW w:type="dxa" w:w="253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互联网光纤技术规范要求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线路</w:t>
                  </w:r>
                </w:p>
              </w:tc>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接入</w:t>
                  </w:r>
                </w:p>
              </w:tc>
              <w:tc>
                <w:tcPr>
                  <w:tcW w:type="dxa" w:w="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互联网光纤专线</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说明</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2"/>
                  <w:vMerge/>
                  <w:tcBorders>
                    <w:top w:val="singl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用户要求带宽</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见线路明细</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2"/>
                  <w:vMerge/>
                  <w:tcBorders>
                    <w:top w:val="singl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接口</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IEEE 802.3z Ethernet</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光口</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2"/>
                  <w:vMerge/>
                  <w:tcBorders>
                    <w:top w:val="singl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IP地址</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≥8个固定地址</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72"/>
                  <w:vMerge/>
                  <w:tcBorders>
                    <w:top w:val="singl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接口实测速率</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≥接口理论速率×90%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72"/>
                  <w:vMerge/>
                  <w:tcBorders>
                    <w:top w:val="singl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上下行速率差</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上行速率</w:t>
                  </w:r>
                  <w:r>
                    <w:rPr>
                      <w:rFonts w:ascii="仿宋_GB2312" w:hAnsi="仿宋_GB2312" w:cs="仿宋_GB2312" w:eastAsia="仿宋_GB2312"/>
                      <w:sz w:val="21"/>
                    </w:rPr>
                    <w:t>≥下行速率×99%</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72"/>
                  <w:vMerge/>
                  <w:tcBorders>
                    <w:top w:val="singl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年中断次数</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72"/>
                  <w:vMerge/>
                  <w:tcBorders>
                    <w:top w:val="singl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每次中断时间</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≤240min</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p>
                  <w:pPr>
                    <w:pStyle w:val="null3"/>
                    <w:jc w:val="center"/>
                  </w:pPr>
                </w:p>
              </w:tc>
              <w:tc>
                <w:tcPr>
                  <w:tcW w:type="dxa" w:w="272"/>
                  <w:vMerge/>
                  <w:tcBorders>
                    <w:top w:val="singl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线路接入要求</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要求从运营商就近节点布放两条不同物理路由光缆接入城管中心机房。</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光倒换设备</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主备光链路保护设备实现自动切换</w:t>
                  </w:r>
                </w:p>
                <w:p>
                  <w:pPr>
                    <w:pStyle w:val="null3"/>
                    <w:jc w:val="center"/>
                  </w:pPr>
                  <w:r>
                    <w:rPr>
                      <w:rFonts w:ascii="仿宋_GB2312" w:hAnsi="仿宋_GB2312" w:cs="仿宋_GB2312" w:eastAsia="仿宋_GB2312"/>
                      <w:sz w:val="21"/>
                    </w:rPr>
                    <w:t>要求倒换时间</w:t>
                  </w:r>
                  <w:r>
                    <w:rPr>
                      <w:rFonts w:ascii="仿宋_GB2312" w:hAnsi="仿宋_GB2312" w:cs="仿宋_GB2312" w:eastAsia="仿宋_GB2312"/>
                      <w:sz w:val="21"/>
                    </w:rPr>
                    <w:t>≤50ns</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故障处理时间</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响应时间</w:t>
                  </w:r>
                  <w:r>
                    <w:rPr>
                      <w:rFonts w:ascii="仿宋_GB2312" w:hAnsi="仿宋_GB2312" w:cs="仿宋_GB2312" w:eastAsia="仿宋_GB2312"/>
                      <w:sz w:val="21"/>
                    </w:rPr>
                    <w:t>≤2h</w:t>
                  </w:r>
                </w:p>
                <w:p>
                  <w:pPr>
                    <w:pStyle w:val="null3"/>
                    <w:jc w:val="center"/>
                  </w:pPr>
                  <w:r>
                    <w:rPr>
                      <w:rFonts w:ascii="仿宋_GB2312" w:hAnsi="仿宋_GB2312" w:cs="仿宋_GB2312" w:eastAsia="仿宋_GB2312"/>
                      <w:sz w:val="21"/>
                    </w:rPr>
                    <w:t>排除时间</w:t>
                  </w:r>
                  <w:r>
                    <w:rPr>
                      <w:rFonts w:ascii="仿宋_GB2312" w:hAnsi="仿宋_GB2312" w:cs="仿宋_GB2312" w:eastAsia="仿宋_GB2312"/>
                      <w:sz w:val="21"/>
                    </w:rPr>
                    <w:t>≤4h</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72"/>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新增线路开通时间</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30个自然日内</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2）数字电路专线技术规范要求</w:t>
            </w:r>
          </w:p>
          <w:tbl>
            <w:tblPr>
              <w:tblBorders>
                <w:top w:val="none" w:color="000000" w:sz="4"/>
                <w:left w:val="none" w:color="000000" w:sz="4"/>
                <w:bottom w:val="none" w:color="000000" w:sz="4"/>
                <w:right w:val="none" w:color="000000" w:sz="4"/>
                <w:insideH w:val="none"/>
                <w:insideV w:val="none"/>
              </w:tblBorders>
            </w:tblPr>
            <w:tblGrid>
              <w:gridCol w:w="243"/>
              <w:gridCol w:w="306"/>
              <w:gridCol w:w="765"/>
              <w:gridCol w:w="834"/>
              <w:gridCol w:w="389"/>
            </w:tblGrid>
            <w:tr>
              <w:tc>
                <w:tcPr>
                  <w:tcW w:type="dxa" w:w="253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数字电路专线技术规范要求</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对象</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r>
                    <w:rPr>
                      <w:rFonts w:ascii="仿宋_GB2312" w:hAnsi="仿宋_GB2312" w:cs="仿宋_GB2312" w:eastAsia="仿宋_GB2312"/>
                      <w:sz w:val="21"/>
                    </w:rPr>
                    <w:t>/类型</w:t>
                  </w:r>
                </w:p>
              </w:tc>
              <w:tc>
                <w:tcPr>
                  <w:tcW w:type="dxa" w:w="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说明</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
                    <w:jc w:val="center"/>
                  </w:pPr>
                  <w:r>
                    <w:rPr>
                      <w:rFonts w:ascii="仿宋_GB2312" w:hAnsi="仿宋_GB2312" w:cs="仿宋_GB2312" w:eastAsia="仿宋_GB2312"/>
                      <w:sz w:val="21"/>
                    </w:rPr>
                    <w:t>1</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数字电路专线</w:t>
                  </w:r>
                </w:p>
              </w:tc>
              <w:tc>
                <w:tcPr>
                  <w:tcW w:type="dxa" w:w="7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接入</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r>
                    <w:rPr>
                      <w:rFonts w:ascii="仿宋_GB2312" w:hAnsi="仿宋_GB2312" w:cs="仿宋_GB2312" w:eastAsia="仿宋_GB2312"/>
                      <w:sz w:val="21"/>
                    </w:rPr>
                    <w:t>中心节点双路由</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6"/>
                  <w:vMerge/>
                  <w:tcBorders>
                    <w:top w:val="none" w:color="000000" w:sz="4"/>
                    <w:left w:val="none" w:color="000000" w:sz="4"/>
                    <w:bottom w:val="single" w:color="000000" w:sz="4"/>
                    <w:right w:val="single" w:color="000000" w:sz="4"/>
                  </w:tcBorders>
                </w:tcPr>
                <w:p/>
              </w:tc>
              <w:tc>
                <w:tcPr>
                  <w:tcW w:type="dxa" w:w="765"/>
                  <w:vMerge/>
                  <w:tcBorders>
                    <w:top w:val="none" w:color="000000" w:sz="4"/>
                    <w:left w:val="none" w:color="000000" w:sz="4"/>
                    <w:bottom w:val="single" w:color="000000" w:sz="4"/>
                    <w:right w:val="single" w:color="000000" w:sz="4"/>
                  </w:tcBorders>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r>
                    <w:rPr>
                      <w:rFonts w:ascii="仿宋_GB2312" w:hAnsi="仿宋_GB2312" w:cs="仿宋_GB2312" w:eastAsia="仿宋_GB2312"/>
                      <w:sz w:val="21"/>
                    </w:rPr>
                    <w:t>分支节点单路由</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6"/>
                  <w:vMerge/>
                  <w:tcBorders>
                    <w:top w:val="none" w:color="000000" w:sz="4"/>
                    <w:left w:val="none" w:color="000000" w:sz="4"/>
                    <w:bottom w:val="single" w:color="000000" w:sz="4"/>
                    <w:right w:val="single" w:color="000000" w:sz="4"/>
                  </w:tcBorders>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用户要求带宽</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见线路明细</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
                    <w:jc w:val="center"/>
                  </w:pPr>
                  <w:r>
                    <w:rPr>
                      <w:rFonts w:ascii="仿宋_GB2312" w:hAnsi="仿宋_GB2312" w:cs="仿宋_GB2312" w:eastAsia="仿宋_GB2312"/>
                      <w:sz w:val="21"/>
                    </w:rPr>
                    <w:t>4</w:t>
                  </w:r>
                </w:p>
              </w:tc>
              <w:tc>
                <w:tcPr>
                  <w:tcW w:type="dxa" w:w="306"/>
                  <w:vMerge/>
                  <w:tcBorders>
                    <w:top w:val="none" w:color="000000" w:sz="4"/>
                    <w:left w:val="none" w:color="000000" w:sz="4"/>
                    <w:bottom w:val="single" w:color="000000" w:sz="4"/>
                    <w:right w:val="single" w:color="000000" w:sz="4"/>
                  </w:tcBorders>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传输比特差错率</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r>
                    <w:rPr>
                      <w:rFonts w:ascii="仿宋_GB2312" w:hAnsi="仿宋_GB2312" w:cs="仿宋_GB2312" w:eastAsia="仿宋_GB2312"/>
                      <w:sz w:val="21"/>
                    </w:rPr>
                    <w:t>≤10</w:t>
                  </w:r>
                  <w:r>
                    <w:rPr>
                      <w:rFonts w:ascii="仿宋_GB2312" w:hAnsi="仿宋_GB2312" w:cs="仿宋_GB2312" w:eastAsia="仿宋_GB2312"/>
                      <w:sz w:val="21"/>
                      <w:vertAlign w:val="superscript"/>
                    </w:rPr>
                    <w:t>-7</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06"/>
                  <w:vMerge/>
                  <w:tcBorders>
                    <w:top w:val="none" w:color="000000" w:sz="4"/>
                    <w:left w:val="none" w:color="000000" w:sz="4"/>
                    <w:bottom w:val="single" w:color="000000" w:sz="4"/>
                    <w:right w:val="single" w:color="000000" w:sz="4"/>
                  </w:tcBorders>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接口实测速率</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r>
                    <w:rPr>
                      <w:rFonts w:ascii="仿宋_GB2312" w:hAnsi="仿宋_GB2312" w:cs="仿宋_GB2312" w:eastAsia="仿宋_GB2312"/>
                      <w:sz w:val="21"/>
                    </w:rPr>
                    <w:t>≥接口理论速率×90%</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06"/>
                  <w:vMerge/>
                  <w:tcBorders>
                    <w:top w:val="none" w:color="000000" w:sz="4"/>
                    <w:left w:val="none" w:color="000000" w:sz="4"/>
                    <w:bottom w:val="single" w:color="000000" w:sz="4"/>
                    <w:right w:val="single" w:color="000000" w:sz="4"/>
                  </w:tcBorders>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上下行速率差</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r>
                    <w:rPr>
                      <w:rFonts w:ascii="仿宋_GB2312" w:hAnsi="仿宋_GB2312" w:cs="仿宋_GB2312" w:eastAsia="仿宋_GB2312"/>
                      <w:sz w:val="21"/>
                    </w:rPr>
                    <w:t>上行速率</w:t>
                  </w:r>
                  <w:r>
                    <w:rPr>
                      <w:rFonts w:ascii="仿宋_GB2312" w:hAnsi="仿宋_GB2312" w:cs="仿宋_GB2312" w:eastAsia="仿宋_GB2312"/>
                      <w:sz w:val="21"/>
                    </w:rPr>
                    <w:t>≥下行速率×99%</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06"/>
                  <w:vMerge/>
                  <w:tcBorders>
                    <w:top w:val="none" w:color="000000" w:sz="4"/>
                    <w:left w:val="none" w:color="000000" w:sz="4"/>
                    <w:bottom w:val="single" w:color="000000" w:sz="4"/>
                    <w:right w:val="single" w:color="000000" w:sz="4"/>
                  </w:tcBorders>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传输延时</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r>
                    <w:rPr>
                      <w:rFonts w:ascii="仿宋_GB2312" w:hAnsi="仿宋_GB2312" w:cs="仿宋_GB2312" w:eastAsia="仿宋_GB2312"/>
                      <w:sz w:val="21"/>
                    </w:rPr>
                    <w:t>≤50ms</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故障处理时间</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响应时间</w:t>
                  </w:r>
                  <w:r>
                    <w:rPr>
                      <w:rFonts w:ascii="仿宋_GB2312" w:hAnsi="仿宋_GB2312" w:cs="仿宋_GB2312" w:eastAsia="仿宋_GB2312"/>
                      <w:sz w:val="21"/>
                    </w:rPr>
                    <w:t>≤30min</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06"/>
                  <w:vMerge/>
                  <w:tcBorders>
                    <w:top w:val="none" w:color="000000" w:sz="4"/>
                    <w:left w:val="none" w:color="000000" w:sz="4"/>
                    <w:bottom w:val="single" w:color="000000" w:sz="4"/>
                    <w:right w:val="single" w:color="000000" w:sz="4"/>
                  </w:tcBorders>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线路开通时间</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20个自然日</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光端机等设备</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left"/>
                  </w:pPr>
                  <w:r>
                    <w:rPr>
                      <w:rFonts w:ascii="仿宋_GB2312" w:hAnsi="仿宋_GB2312" w:cs="仿宋_GB2312" w:eastAsia="仿宋_GB2312"/>
                      <w:sz w:val="21"/>
                    </w:rPr>
                    <w:t>满足线路需求及更高标准，根据需要提供光口或</w:t>
                  </w:r>
                  <w:r>
                    <w:rPr>
                      <w:rFonts w:ascii="仿宋_GB2312" w:hAnsi="仿宋_GB2312" w:cs="仿宋_GB2312" w:eastAsia="仿宋_GB2312"/>
                      <w:sz w:val="21"/>
                    </w:rPr>
                    <w:t>RJ45接口或E1等接口</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
                    <w:jc w:val="center"/>
                  </w:pP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3）裸光纤技术规范要求</w:t>
            </w:r>
          </w:p>
          <w:tbl>
            <w:tblPr>
              <w:tblBorders>
                <w:top w:val="none" w:color="000000" w:sz="4"/>
                <w:left w:val="none" w:color="000000" w:sz="4"/>
                <w:bottom w:val="none" w:color="000000" w:sz="4"/>
                <w:right w:val="none" w:color="000000" w:sz="4"/>
                <w:insideH w:val="none"/>
                <w:insideV w:val="none"/>
              </w:tblBorders>
            </w:tblPr>
            <w:tblGrid>
              <w:gridCol w:w="251"/>
              <w:gridCol w:w="387"/>
              <w:gridCol w:w="14"/>
              <w:gridCol w:w="509"/>
              <w:gridCol w:w="380"/>
              <w:gridCol w:w="638"/>
              <w:gridCol w:w="373"/>
            </w:tblGrid>
            <w:tr>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1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技术标准</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模场</w:t>
                  </w:r>
                  <w:r>
                    <w:rPr>
                      <w:rFonts w:ascii="仿宋_GB2312" w:hAnsi="仿宋_GB2312" w:cs="仿宋_GB2312" w:eastAsia="仿宋_GB2312"/>
                      <w:sz w:val="21"/>
                    </w:rPr>
                    <w:t xml:space="preserve">    1310nm</w:t>
                  </w:r>
                </w:p>
                <w:p>
                  <w:pPr>
                    <w:pStyle w:val="null3"/>
                    <w:jc w:val="left"/>
                  </w:pPr>
                  <w:r>
                    <w:rPr>
                      <w:rFonts w:ascii="仿宋_GB2312" w:hAnsi="仿宋_GB2312" w:cs="仿宋_GB2312" w:eastAsia="仿宋_GB2312"/>
                      <w:sz w:val="21"/>
                    </w:rPr>
                    <w:t>直径</w:t>
                  </w:r>
                  <w:r>
                    <w:rPr>
                      <w:rFonts w:ascii="仿宋_GB2312" w:hAnsi="仿宋_GB2312" w:cs="仿宋_GB2312" w:eastAsia="仿宋_GB2312"/>
                      <w:sz w:val="21"/>
                    </w:rPr>
                    <w:t xml:space="preserve">    1550nm</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Μm</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9.3</w:t>
                  </w:r>
                  <w:r>
                    <w:rPr>
                      <w:rFonts w:ascii="仿宋_GB2312" w:hAnsi="仿宋_GB2312" w:cs="仿宋_GB2312" w:eastAsia="仿宋_GB2312"/>
                      <w:sz w:val="21"/>
                      <w:u w:val="single"/>
                    </w:rPr>
                    <w:t>+</w:t>
                  </w:r>
                  <w:r>
                    <w:rPr>
                      <w:rFonts w:ascii="仿宋_GB2312" w:hAnsi="仿宋_GB2312" w:cs="仿宋_GB2312" w:eastAsia="仿宋_GB2312"/>
                      <w:sz w:val="21"/>
                    </w:rPr>
                    <w:t>0.5</w:t>
                  </w:r>
                </w:p>
                <w:p>
                  <w:pPr>
                    <w:pStyle w:val="null3"/>
                    <w:jc w:val="left"/>
                  </w:pPr>
                  <w:r>
                    <w:rPr>
                      <w:rFonts w:ascii="仿宋_GB2312" w:hAnsi="仿宋_GB2312" w:cs="仿宋_GB2312" w:eastAsia="仿宋_GB2312"/>
                      <w:sz w:val="21"/>
                    </w:rPr>
                    <w:t>10.5</w:t>
                  </w:r>
                  <w:r>
                    <w:rPr>
                      <w:rFonts w:ascii="仿宋_GB2312" w:hAnsi="仿宋_GB2312" w:cs="仿宋_GB2312" w:eastAsia="仿宋_GB2312"/>
                      <w:sz w:val="21"/>
                      <w:u w:val="single"/>
                    </w:rPr>
                    <w:t>+</w:t>
                  </w:r>
                  <w:r>
                    <w:rPr>
                      <w:rFonts w:ascii="仿宋_GB2312" w:hAnsi="仿宋_GB2312" w:cs="仿宋_GB2312" w:eastAsia="仿宋_GB2312"/>
                      <w:sz w:val="21"/>
                    </w:rPr>
                    <w:t>1.0</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包层直径</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Μm</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w:t>
                  </w:r>
                  <w:r>
                    <w:rPr>
                      <w:rFonts w:ascii="仿宋_GB2312" w:hAnsi="仿宋_GB2312" w:cs="仿宋_GB2312" w:eastAsia="仿宋_GB2312"/>
                      <w:sz w:val="21"/>
                      <w:u w:val="single"/>
                    </w:rPr>
                    <w:t>+</w:t>
                  </w:r>
                  <w:r>
                    <w:rPr>
                      <w:rFonts w:ascii="仿宋_GB2312" w:hAnsi="仿宋_GB2312" w:cs="仿宋_GB2312" w:eastAsia="仿宋_GB2312"/>
                      <w:sz w:val="21"/>
                    </w:rPr>
                    <w:t>2</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模场同心度</w:t>
                  </w:r>
                  <w:r>
                    <w:rPr>
                      <w:rFonts w:ascii="仿宋_GB2312" w:hAnsi="仿宋_GB2312" w:cs="仿宋_GB2312" w:eastAsia="仿宋_GB2312"/>
                      <w:sz w:val="21"/>
                    </w:rPr>
                    <w:t>偏</w:t>
                  </w:r>
                  <w:r>
                    <w:rPr>
                      <w:rFonts w:ascii="仿宋_GB2312" w:hAnsi="仿宋_GB2312" w:cs="仿宋_GB2312" w:eastAsia="仿宋_GB2312"/>
                      <w:sz w:val="21"/>
                    </w:rPr>
                    <w:t>率</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Μm</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包层不园度</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截止</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left"/>
                  </w:pPr>
                  <w:r>
                    <w:rPr>
                      <w:rFonts w:ascii="仿宋_GB2312" w:hAnsi="仿宋_GB2312" w:cs="仿宋_GB2312" w:eastAsia="仿宋_GB2312"/>
                      <w:sz w:val="21"/>
                    </w:rPr>
                    <w:t>Λc</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Nm</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1100~1280</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2m光缆上测试</w:t>
                  </w:r>
                </w:p>
              </w:tc>
            </w:tr>
            <w:tr>
              <w:tc>
                <w:tcPr>
                  <w:tcW w:type="dxa" w:w="251"/>
                  <w:vMerge/>
                  <w:tcBorders>
                    <w:top w:val="none" w:color="000000" w:sz="4"/>
                    <w:left w:val="single" w:color="000000" w:sz="4"/>
                    <w:bottom w:val="single" w:color="000000" w:sz="4"/>
                    <w:right w:val="single" w:color="000000" w:sz="4"/>
                  </w:tcBorders>
                </w:tcPr>
                <w:p/>
              </w:tc>
              <w:tc>
                <w:tcPr>
                  <w:tcW w:type="dxa" w:w="4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波长</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left"/>
                  </w:pPr>
                  <w:r>
                    <w:rPr>
                      <w:rFonts w:ascii="仿宋_GB2312" w:hAnsi="仿宋_GB2312" w:cs="仿宋_GB2312" w:eastAsia="仿宋_GB2312"/>
                      <w:sz w:val="21"/>
                    </w:rPr>
                    <w:t>Λcc</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Nm</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≤1260</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20m光缆+2m光纤上测</w:t>
                  </w:r>
                </w:p>
              </w:tc>
            </w:tr>
            <w:tr>
              <w:tc>
                <w:tcPr>
                  <w:tcW w:type="dxa" w:w="2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0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衰减</w:t>
                  </w:r>
                </w:p>
                <w:p>
                  <w:pPr>
                    <w:pStyle w:val="null3"/>
                    <w:jc w:val="left"/>
                  </w:pP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1310nm</w:t>
                  </w:r>
                </w:p>
              </w:tc>
              <w:tc>
                <w:tcPr>
                  <w:tcW w:type="dxa" w:w="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dB/Km</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≤0.4</w:t>
                  </w:r>
                </w:p>
                <w:p>
                  <w:pPr>
                    <w:pStyle w:val="null3"/>
                    <w:jc w:val="left"/>
                  </w:pPr>
                  <w:r>
                    <w:rPr>
                      <w:rFonts w:ascii="仿宋_GB2312" w:hAnsi="仿宋_GB2312" w:cs="仿宋_GB2312" w:eastAsia="仿宋_GB2312"/>
                      <w:sz w:val="21"/>
                    </w:rPr>
                    <w:t>≤0.35</w:t>
                  </w:r>
                </w:p>
              </w:tc>
              <w:tc>
                <w:tcPr>
                  <w:tcW w:type="dxa" w:w="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1"/>
                  <w:vMerge/>
                  <w:tcBorders>
                    <w:top w:val="none" w:color="000000" w:sz="4"/>
                    <w:left w:val="single" w:color="000000" w:sz="4"/>
                    <w:bottom w:val="single" w:color="000000" w:sz="4"/>
                    <w:right w:val="single" w:color="000000" w:sz="4"/>
                  </w:tcBorders>
                </w:tcPr>
                <w:p/>
              </w:tc>
              <w:tc>
                <w:tcPr>
                  <w:tcW w:type="dxa" w:w="401"/>
                  <w:gridSpan w:val="2"/>
                  <w:vMerge/>
                  <w:tcBorders>
                    <w:top w:val="none" w:color="000000" w:sz="4"/>
                    <w:left w:val="single" w:color="000000" w:sz="4"/>
                    <w:bottom w:val="single" w:color="000000" w:sz="4"/>
                    <w:right w:val="single" w:color="000000" w:sz="4"/>
                  </w:tcBorders>
                </w:tcP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1550nm</w:t>
                  </w:r>
                </w:p>
              </w:tc>
              <w:tc>
                <w:tcPr>
                  <w:tcW w:type="dxa" w:w="380"/>
                  <w:vMerge/>
                  <w:tcBorders>
                    <w:top w:val="none" w:color="000000" w:sz="4"/>
                    <w:left w:val="single" w:color="000000" w:sz="4"/>
                    <w:bottom w:val="single" w:color="000000" w:sz="4"/>
                    <w:right w:val="single" w:color="000000" w:sz="4"/>
                  </w:tcBorders>
                </w:tc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1550nm处弯曲敏感性能</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dB</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半径</w:t>
                  </w:r>
                  <w:r>
                    <w:rPr>
                      <w:rFonts w:ascii="仿宋_GB2312" w:hAnsi="仿宋_GB2312" w:cs="仿宋_GB2312" w:eastAsia="仿宋_GB2312"/>
                      <w:sz w:val="21"/>
                    </w:rPr>
                    <w:t>37.5mmsrc松绕100圈</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零色散波长范围</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Nm</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1300~1324</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最大零色散斜率</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PS/nm</w:t>
                  </w:r>
                  <w:r>
                    <w:rPr>
                      <w:rFonts w:ascii="仿宋_GB2312" w:hAnsi="仿宋_GB2312" w:cs="仿宋_GB2312" w:eastAsia="仿宋_GB2312"/>
                      <w:sz w:val="21"/>
                      <w:vertAlign w:val="superscript"/>
                    </w:rPr>
                    <w:t>2</w:t>
                  </w:r>
                  <w:r>
                    <w:rPr>
                      <w:rFonts w:ascii="仿宋_GB2312" w:hAnsi="仿宋_GB2312" w:cs="仿宋_GB2312" w:eastAsia="仿宋_GB2312"/>
                      <w:sz w:val="21"/>
                    </w:rPr>
                    <w:t>XKm</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≤0.093</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色散</w:t>
                  </w:r>
                </w:p>
                <w:p>
                  <w:pPr>
                    <w:pStyle w:val="null3"/>
                    <w:jc w:val="left"/>
                  </w:pPr>
                  <w:r>
                    <w:rPr>
                      <w:rFonts w:ascii="仿宋_GB2312" w:hAnsi="仿宋_GB2312" w:cs="仿宋_GB2312" w:eastAsia="仿宋_GB2312"/>
                      <w:sz w:val="21"/>
                    </w:rPr>
                    <w:t>系数</w:t>
                  </w:r>
                </w:p>
              </w:tc>
              <w:tc>
                <w:tcPr>
                  <w:tcW w:type="dxa" w:w="5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jc w:val="left"/>
                  </w:pPr>
                  <w:r>
                    <w:rPr>
                      <w:rFonts w:ascii="仿宋_GB2312" w:hAnsi="仿宋_GB2312" w:cs="仿宋_GB2312" w:eastAsia="仿宋_GB2312"/>
                      <w:sz w:val="21"/>
                    </w:rPr>
                    <w:t>1288-1339</w:t>
                  </w:r>
                </w:p>
                <w:p>
                  <w:pPr>
                    <w:pStyle w:val="null3"/>
                    <w:ind w:left="195"/>
                    <w:jc w:val="left"/>
                  </w:pPr>
                  <w:r>
                    <w:rPr>
                      <w:rFonts w:ascii="仿宋_GB2312" w:hAnsi="仿宋_GB2312" w:cs="仿宋_GB2312" w:eastAsia="仿宋_GB2312"/>
                      <w:sz w:val="21"/>
                    </w:rPr>
                    <w:t>nm</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PS/nmXKm</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w:t>
                  </w:r>
                </w:p>
                <w:p>
                  <w:pPr>
                    <w:pStyle w:val="null3"/>
                    <w:jc w:val="left"/>
                  </w:pP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1"/>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5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1550</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91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光纤筛选试验拉力</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N</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光纤折射率</w:t>
                  </w:r>
                </w:p>
              </w:tc>
              <w:tc>
                <w:tcPr>
                  <w:tcW w:type="dxa" w:w="5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jc w:val="left"/>
                  </w:pPr>
                  <w:r>
                    <w:rPr>
                      <w:rFonts w:ascii="仿宋_GB2312" w:hAnsi="仿宋_GB2312" w:cs="仿宋_GB2312" w:eastAsia="仿宋_GB2312"/>
                      <w:sz w:val="21"/>
                    </w:rPr>
                    <w:t>1310nm</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1.4648</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1"/>
                  <w:vMerge/>
                  <w:tcBorders>
                    <w:top w:val="none" w:color="000000" w:sz="4"/>
                    <w:left w:val="single" w:color="000000" w:sz="4"/>
                    <w:bottom w:val="single" w:color="000000" w:sz="4"/>
                    <w:right w:val="single" w:color="000000" w:sz="4"/>
                  </w:tcBorders>
                </w:tcPr>
                <w:p/>
              </w:tc>
              <w:tc>
                <w:tcPr>
                  <w:tcW w:type="dxa" w:w="387"/>
                  <w:vMerge/>
                  <w:tcBorders>
                    <w:top w:val="none" w:color="000000" w:sz="4"/>
                    <w:left w:val="single" w:color="000000" w:sz="4"/>
                    <w:bottom w:val="single" w:color="000000" w:sz="4"/>
                    <w:right w:val="single" w:color="000000" w:sz="4"/>
                  </w:tcBorders>
                </w:tcPr>
                <w:p/>
              </w:tc>
              <w:tc>
                <w:tcPr>
                  <w:tcW w:type="dxa" w:w="5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4芯</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1.4653</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1"/>
                <w:b/>
              </w:rPr>
              <w:t>2、线路开通时限及要</w:t>
            </w:r>
            <w:r>
              <w:rPr>
                <w:rFonts w:ascii="仿宋_GB2312" w:hAnsi="仿宋_GB2312" w:cs="仿宋_GB2312" w:eastAsia="仿宋_GB2312"/>
                <w:sz w:val="21"/>
              </w:rPr>
              <w:t>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1）对于采购人新增电路，运营商在接到采购人提交的电路开通申请后30个自然日完成电路的开通工作。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2）对于采购人电路变更（升速/降速/迁移），运营商在接到采购人提交的电路变更申请后20个自然日完成电路的变更工作，不收取该条线路租费之外的任何费用。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3）对于采购人退租电路，运营商在接到采购人提交的电路退租申请后5个自然日完成电路的退租工作。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因运营商原因，未能按照上述时限要求完成开通或变更电路的，则每逾期1个自然日减免该条电路单月月租费的百分之五（5%），在开通后的首月月租费中扣除，如逾期20个自然日仍不能开通，则继续扣减开通后的次月月租费，以此类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线路开通后，运营商应提供给采购人线路用户手册，包含该线路的线号、规格参数等详细属性信息，以及相关的障碍处理流程、准确的障碍处理联系人和联系方式，如后期信息发生更新，运营商应及时将新的用户手册提供给采购人。</w:t>
            </w:r>
          </w:p>
          <w:p>
            <w:pPr>
              <w:pStyle w:val="null3"/>
              <w:ind w:firstLine="422"/>
              <w:jc w:val="both"/>
            </w:pPr>
            <w:r>
              <w:rPr>
                <w:rFonts w:ascii="仿宋_GB2312" w:hAnsi="仿宋_GB2312" w:cs="仿宋_GB2312" w:eastAsia="仿宋_GB2312"/>
                <w:sz w:val="21"/>
                <w:b/>
              </w:rPr>
              <w:t>3、障碍修复时限要求</w:t>
            </w:r>
          </w:p>
          <w:p>
            <w:pPr>
              <w:pStyle w:val="null3"/>
              <w:ind w:firstLine="420"/>
              <w:jc w:val="both"/>
            </w:pPr>
            <w:r>
              <w:rPr>
                <w:rFonts w:ascii="仿宋_GB2312" w:hAnsi="仿宋_GB2312" w:cs="仿宋_GB2312" w:eastAsia="仿宋_GB2312"/>
                <w:sz w:val="21"/>
              </w:rPr>
              <w:t>对于由运营商原因造成的通信故障，要求如下：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对于生产系统线路中断，运营商承诺在2小时内修复，超过2小时未修复则减免该条电路当月月租的50%，超过24小时未修复则减免该条电路当月月租费。生产系统线路丢包、变慢等非中断性故障，运营商维修人员应在采购人申告后1小时内响应，2小时内到达现场，24小时内修复，超过24小时未修复则减免该条电路50%的月租费，超过48小时未修复则减免该条电路当月月租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业务办公系统线路中断，运营商承诺在4小时内修复，超过4小时未修复则减免该条电路当月月租的50%，超过24小时未修复则减免该条电路当月月租费。业务办公系统线路丢包、变慢等非中断性故障，运营商维修人员应在采购人申告后1小时内响应，2小时内到达现场，48小时内修复，超过48小时未修复则减免该条电路50%的月租费，超过72小时未修复则减免该条电路当月月租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3）故障发生时间以采购人拨打运营商客服电话或客户经理电话申报故障后开始计算。运营商在障碍修复5个自然日内，向采购人提交故障分析报告。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4）对于由采购人原因造成的通信故障，运营商应积极配合采购人及时处理。因运营商施工、网络割接等原因影响租用电路的正常使用的，运营商应当提前通知采购人，并且尽快消除故障、恢复通信线路。</w:t>
            </w:r>
          </w:p>
          <w:p>
            <w:pPr>
              <w:pStyle w:val="null3"/>
              <w:ind w:firstLine="422"/>
              <w:jc w:val="both"/>
            </w:pPr>
            <w:r>
              <w:rPr>
                <w:rFonts w:ascii="仿宋_GB2312" w:hAnsi="仿宋_GB2312" w:cs="仿宋_GB2312" w:eastAsia="仿宋_GB2312"/>
                <w:sz w:val="21"/>
                <w:b/>
              </w:rPr>
              <w:t>4、技术支持服务要求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1）为重点保障采购人线路，生产系统线路运营商应配备一名专业技术工程师向采购人提供技术支撑服务，7*24小时电话响应及到场服务。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2）生产系统运营商应为采购人建立一个可支持短信发送告警的网络管理及线路中断告警平台，实现对现网设备的监控及线路故障实时短信告警，全年告警短信发送量在5000条以内不收取任何费用。</w:t>
            </w:r>
          </w:p>
          <w:p>
            <w:pPr>
              <w:pStyle w:val="null3"/>
              <w:ind w:firstLine="422"/>
              <w:jc w:val="both"/>
            </w:pPr>
            <w:r>
              <w:rPr>
                <w:rFonts w:ascii="仿宋_GB2312" w:hAnsi="仿宋_GB2312" w:cs="仿宋_GB2312" w:eastAsia="仿宋_GB2312"/>
                <w:sz w:val="21"/>
                <w:b/>
              </w:rPr>
              <w:t>5、设备要求</w:t>
            </w:r>
          </w:p>
          <w:p>
            <w:pPr>
              <w:pStyle w:val="null3"/>
              <w:jc w:val="both"/>
            </w:pPr>
            <w:r>
              <w:rPr>
                <w:rFonts w:ascii="仿宋_GB2312" w:hAnsi="仿宋_GB2312" w:cs="仿宋_GB2312" w:eastAsia="仿宋_GB2312"/>
                <w:sz w:val="21"/>
              </w:rPr>
              <w:t>生产线路运营商所提供的通讯设备发生故障，应具备</w:t>
            </w:r>
            <w:r>
              <w:rPr>
                <w:rFonts w:ascii="仿宋_GB2312" w:hAnsi="仿宋_GB2312" w:cs="仿宋_GB2312" w:eastAsia="仿宋_GB2312"/>
                <w:sz w:val="21"/>
              </w:rPr>
              <w:t>1小时内更换备件的服务能力，其他线路设备应具备4小时更换备件的服务能力，且新的设备性能不能低于原有设</w:t>
            </w:r>
            <w:r>
              <w:rPr>
                <w:rFonts w:ascii="仿宋_GB2312" w:hAnsi="仿宋_GB2312" w:cs="仿宋_GB2312" w:eastAsia="仿宋_GB2312"/>
                <w:sz w:val="21"/>
              </w:rPr>
              <w:t>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人员配备应合理，满足项目服务要求。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设施设备配置满足采购人服务需求。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合同服务期限1年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每次付款前乙方应按规定提供正式等额有效发票，付款时间以甲方财务主管部门审批通过后的付款时间为准。签订合同后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服务期满半年后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项目服务期满，经财政部门结算评审完成后（原约定合同金额40%的支付比例仅为阶段性预估付款参考比例，不作为最终实际结算支付金额依据，本项目最终结算金额以财政部门结算评审后的金额据实结算）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提供递交响应文件截止之日前一年内任意一个月依法缴纳税收的相关凭据，凭据应有税务机关或代收机关的公章或业务专用章。依法免税或无须缴纳税收的供应商，应提供书面说明和相关证明材料。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法定代表人参加投标的，须提供本人身份证复印件(附在资格证明资料中)； 法定代表人（主要负责人）委托代理人参加投标时，应提供法定代表人（主要负责人）委托授权书及代理人本单位证明（响应文件提交截止日前六个月内任意一个月社会保险缴纳证明）。 磋商响应文件中凡是需要法定代表人盖章之处，非法人单位的负责人均参照执行。法人的分支机构参与投标时，除提供《法定代表人授权委托书》外，还须同时提供法人给分支机构出具的授权书。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分项报价明细表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中小企业声明函 业绩 商务应答表 供应商应提交的相关资格证明材料 报价表 分项报价明细表 响应文件封面 残疾人福利性单位声明函 服务方案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首次报价只能有一个有效报价，不得提交选择性报价，并未超出采购预算或最高限价</w:t>
            </w:r>
          </w:p>
        </w:tc>
        <w:tc>
          <w:tcPr>
            <w:tcW w:type="dxa" w:w="1661"/>
          </w:tcPr>
          <w:p>
            <w:pPr>
              <w:pStyle w:val="null3"/>
            </w:pPr>
            <w:r>
              <w:rPr>
                <w:rFonts w:ascii="仿宋_GB2312" w:hAnsi="仿宋_GB2312" w:cs="仿宋_GB2312" w:eastAsia="仿宋_GB2312"/>
              </w:rPr>
              <w:t>响应文件封面 标的清单 报价表 分项报价明细表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 服务内容及服务邀请应答表 中小企业声明函 商务应答表 陕西省政府采购供应商拒绝政府采购领域商业贿赂承诺书 供应商应提交的相关资格证明材料 标的清单 分项报价明细表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1.总体实施方案</w:t>
            </w:r>
          </w:p>
        </w:tc>
        <w:tc>
          <w:tcPr>
            <w:tcW w:type="dxa" w:w="2492"/>
          </w:tcPr>
          <w:p>
            <w:pPr>
              <w:pStyle w:val="null3"/>
            </w:pPr>
            <w:r>
              <w:rPr>
                <w:rFonts w:ascii="仿宋_GB2312" w:hAnsi="仿宋_GB2312" w:cs="仿宋_GB2312" w:eastAsia="仿宋_GB2312"/>
              </w:rPr>
              <w:t>（1）评审内容 总体实施方案需按照住建部要求的数字化城市管理平台标准，符合项目需求、可在现有平台接入、升级、扩容。 （2）评分标准 ①完整性：方案必须全面，对评审内容中的各项要求有详细描述；②可实施性：总体架构和技术架构设计合理、层次清楚、切实可行；③针对性：方案能够紧扣项目实际情况，内容科学合理。 （3）赋分标准(满分3分) 项目总体实施方案：每完全满足一个评分标准得1分，满分3分。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2.技术方案</w:t>
            </w:r>
          </w:p>
        </w:tc>
        <w:tc>
          <w:tcPr>
            <w:tcW w:type="dxa" w:w="2492"/>
          </w:tcPr>
          <w:p>
            <w:pPr>
              <w:pStyle w:val="null3"/>
            </w:pPr>
            <w:r>
              <w:rPr>
                <w:rFonts w:ascii="仿宋_GB2312" w:hAnsi="仿宋_GB2312" w:cs="仿宋_GB2312" w:eastAsia="仿宋_GB2312"/>
              </w:rPr>
              <w:t>（1）评审内容 技术方案需响应采购内容及要求，能够确保软硬件故障及时排除。包括：①对采购内容及要求的响应，②服务实施步骤计划(服务工作流程) （2）评分标准 ①完整性：方案必须全面，对评审内容中的各项要求有详细描述；②可实施性：切合本项目实际情况，提出切实可行、合理的方案；③针对性：方案能够紧扣项目实际情况，内容科学合理。 （3）赋分标准（满分6分） ①技术方案：每完全满足一个评分标准得1分，满分3分；②服务实施步骤计划：每完全满足一个评分标准得1分，满分3分。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3.故障处理方案</w:t>
            </w:r>
          </w:p>
        </w:tc>
        <w:tc>
          <w:tcPr>
            <w:tcW w:type="dxa" w:w="2492"/>
          </w:tcPr>
          <w:p>
            <w:pPr>
              <w:pStyle w:val="null3"/>
            </w:pPr>
            <w:r>
              <w:rPr>
                <w:rFonts w:ascii="仿宋_GB2312" w:hAnsi="仿宋_GB2312" w:cs="仿宋_GB2312" w:eastAsia="仿宋_GB2312"/>
              </w:rPr>
              <w:t>（1）评审内容 故障处理工作内容服务方案，包括①故障分级及系统管理、②故障报告及处理规范等。 （2）评分标准 ①完整性：方案必须全面，对评审内容中的各项要求有详细描述；②可实施性：切合本项目实际情况，提出切实可行、合理的方案；③针对性：方案能够紧扣项目实际情况，内容科学合理。 （3）赋分标准（满分6分） ①故障分级及系统管理：每完全满足一个评分标准得1分，满分3分；②故障报告及处理规范：每完全满足一个评分标准得1分，满分3分；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其他说明</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4.租赁服务</w:t>
            </w:r>
          </w:p>
        </w:tc>
        <w:tc>
          <w:tcPr>
            <w:tcW w:type="dxa" w:w="2492"/>
          </w:tcPr>
          <w:p>
            <w:pPr>
              <w:pStyle w:val="null3"/>
            </w:pPr>
            <w:r>
              <w:rPr>
                <w:rFonts w:ascii="仿宋_GB2312" w:hAnsi="仿宋_GB2312" w:cs="仿宋_GB2312" w:eastAsia="仿宋_GB2312"/>
              </w:rPr>
              <w:t>（1）评审内容 供应商针对本项目编制具体的租赁服务方案，包括但不限于①故障响应速度、②服务管理流程、③安全评估服务、④重要时期保障服务、⑤例行检查、⑥租赁服务团队、⑦应急保障等； （2）评分标准 ①完整性：方案必须全面，对评审内容中的各项要求有详细描述； ②可实施性：方案能够紧扣项目实际情况，内容科学合理。 （3）赋分标准（满分14分） ①故障响应速度：每完全满足一个评分标准得1分，满分2分；②服务管理流程：每完全满足一个评分标准得1分，满分2分；③安全评估服务：每完全满足一个评分标准得1分，满分2分；④重要时期保障服务：每完全满足一个评分标准得1分，满分2分；⑤例行检查：每完全满足一个评分标准得1分，满分2分；⑥租赁服务团队：每完全满足一个评分标准得1分，满分2分；⑦应急保障应急预案：每完全满足一个评分标准得1分，满分2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5.服务团队组织方案</w:t>
            </w:r>
          </w:p>
        </w:tc>
        <w:tc>
          <w:tcPr>
            <w:tcW w:type="dxa" w:w="2492"/>
          </w:tcPr>
          <w:p>
            <w:pPr>
              <w:pStyle w:val="null3"/>
            </w:pPr>
            <w:r>
              <w:rPr>
                <w:rFonts w:ascii="仿宋_GB2312" w:hAnsi="仿宋_GB2312" w:cs="仿宋_GB2312" w:eastAsia="仿宋_GB2312"/>
              </w:rPr>
              <w:t>（1）服务团队人员配备方案，团队人员不低于5人，并提供人员相关证书或身份证，得3分； （2）拟派项目人员具备一名高级项目管理师，得1分； （3）拟派项目人员具备一名通信工程师，得1分； （4）提供岗位工作职责及考核管理制度，根据方案的完整性（1分）、可实施性（1分）、针对性（1分）的响应程度计0-3分。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6.售后服务方案</w:t>
            </w:r>
          </w:p>
        </w:tc>
        <w:tc>
          <w:tcPr>
            <w:tcW w:type="dxa" w:w="2492"/>
          </w:tcPr>
          <w:p>
            <w:pPr>
              <w:pStyle w:val="null3"/>
            </w:pPr>
            <w:r>
              <w:rPr>
                <w:rFonts w:ascii="仿宋_GB2312" w:hAnsi="仿宋_GB2312" w:cs="仿宋_GB2312" w:eastAsia="仿宋_GB2312"/>
              </w:rPr>
              <w:t>（1）评审内容 提供针对本项目的售后服务方案，内容包含：①售后服务承诺及标准，②项目售后运行组织人员安排，③故障响应时间等。 （2）评分标准 ①完整性：方案必须全面，对评审内容中的各项要求有详细描述； ②可实施性：切合本项目实际情况，分工合理、责任明确，满足使用需求；③针对性：方案能够紧扣项目实际情况，内容科学合理。 （3）赋分标准（满分9分） ①售后服务承诺及标准：每完全满足一个评分标准得1分，满分3分；②项目售后运行组织人员安排：每完全满足一个评分标准得1分，满分3分；③故障响应时间：每完全满足一个评分标准得1分，满分3分。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其他说明</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7.售后服务培训措施</w:t>
            </w:r>
          </w:p>
        </w:tc>
        <w:tc>
          <w:tcPr>
            <w:tcW w:type="dxa" w:w="2492"/>
          </w:tcPr>
          <w:p>
            <w:pPr>
              <w:pStyle w:val="null3"/>
            </w:pPr>
            <w:r>
              <w:rPr>
                <w:rFonts w:ascii="仿宋_GB2312" w:hAnsi="仿宋_GB2312" w:cs="仿宋_GB2312" w:eastAsia="仿宋_GB2312"/>
              </w:rPr>
              <w:t>（1）评审内容 针对本项目制定确保使用人员能够独立操作，并进行简单故障排查处理的培训方案，培训内容至少包含：①日常使用操作；②简单故障的排除；③紧急情况的处理。 （2）评分标准 ①完整性：方案必须全面，对评审内容中的各项要求有详细描述； ②可实施性：切合本项目实际情况，提出切实可行、合理的方案； ③针对性：方案能够紧扣项目实际情况，内容科学合理，培训方案符合本项目服务人员要求。 （3）赋分标准（满分9分） ①日常使用操作：每完全满足一个评分标准得1分，满分3分；②简单故障的排除：每完全满足一个评分标准得1分，满分3分；③紧急情况的处理：每完全满足一个评分标准得1分，满分3分。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8.产品质量证明材料</w:t>
            </w:r>
          </w:p>
        </w:tc>
        <w:tc>
          <w:tcPr>
            <w:tcW w:type="dxa" w:w="2492"/>
          </w:tcPr>
          <w:p>
            <w:pPr>
              <w:pStyle w:val="null3"/>
            </w:pPr>
            <w:r>
              <w:rPr>
                <w:rFonts w:ascii="仿宋_GB2312" w:hAnsi="仿宋_GB2312" w:cs="仿宋_GB2312" w:eastAsia="仿宋_GB2312"/>
              </w:rPr>
              <w:t>（1）评审内容 设备进货渠道正规，提供产品来源渠道合法的证明文件（包括但不限于销售协议、代理协议、原厂授权等），并能够提供设备说明书等相关资料；确保供应的设备无假货、水货、翻新货且无产权纠纷； （2）评审标准（满分7分） ①所投设备质量证明材料齐全，技术工艺先进，性能稳定，具有较好的使用效果，质量保证完善符合国际、国内相关标准得5-7分；②资料较齐全、渠道完善可证明产品正规合格得3-4分；③资料不全、无法证明产品质量合格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9.业绩</w:t>
            </w:r>
          </w:p>
        </w:tc>
        <w:tc>
          <w:tcPr>
            <w:tcW w:type="dxa" w:w="2492"/>
          </w:tcPr>
          <w:p>
            <w:pPr>
              <w:pStyle w:val="null3"/>
            </w:pPr>
            <w:r>
              <w:rPr>
                <w:rFonts w:ascii="仿宋_GB2312" w:hAnsi="仿宋_GB2312" w:cs="仿宋_GB2312" w:eastAsia="仿宋_GB2312"/>
              </w:rPr>
              <w:t>供应商提供近四年（2022年1月1日至今，以合同签订时间为准）的同类项目业绩，业绩以合同签订时间为依据，每提供一个业绩证明计2分，满分8分。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其他说明</w:t>
            </w:r>
          </w:p>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2.满足磋商文件实质性要求且最后报价最低的供应商的价格为磋商基准价，其价格分为满分30分。 3.磋商报价得分=(磋商基准价/最终磋商报价）×30的公式计算得分。 4.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因落实政府采购政策进行价格调整的，以调整后的价格计算评标基准价和投标报价，详见磋商文件本部分政府采购政策评分标准，专门面向中小企业采购的项目或者采购包，不再执行价格评审优惠的扶持政策。） 注：根据《关于推动解决政府采购异常低价问题的通知 财库〔2026〕2号》采购评审中出现下列情形之一的，评审委员会应当启动异常低价投标（响应）审查程序：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