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7E1017">
      <w:pPr>
        <w:spacing w:line="360" w:lineRule="auto"/>
        <w:jc w:val="center"/>
        <w:rPr>
          <w:rFonts w:hint="eastAsia" w:ascii="楷体_GB2312" w:hAnsi="宋体" w:eastAsia="楷体_GB2312" w:cs="楷体_GB2312"/>
          <w:b/>
          <w:bCs/>
          <w:color w:val="auto"/>
          <w:sz w:val="44"/>
          <w:szCs w:val="44"/>
        </w:rPr>
      </w:pPr>
    </w:p>
    <w:p w14:paraId="0CAB23DA">
      <w:pPr>
        <w:spacing w:line="360" w:lineRule="auto"/>
        <w:jc w:val="center"/>
        <w:rPr>
          <w:rFonts w:hint="eastAsia" w:ascii="楷体_GB2312" w:hAnsi="宋体" w:eastAsia="楷体_GB2312" w:cs="楷体_GB2312"/>
          <w:b/>
          <w:bCs/>
          <w:color w:val="auto"/>
          <w:sz w:val="44"/>
          <w:szCs w:val="44"/>
        </w:rPr>
      </w:pPr>
      <w:r>
        <w:rPr>
          <w:rFonts w:hint="eastAsia" w:ascii="楷体_GB2312" w:hAnsi="宋体" w:eastAsia="楷体_GB2312" w:cs="楷体_GB2312"/>
          <w:b/>
          <w:bCs/>
          <w:color w:val="auto"/>
          <w:sz w:val="44"/>
          <w:szCs w:val="44"/>
        </w:rPr>
        <w:t>未央区数字化城市管理监督指挥系统</w:t>
      </w:r>
    </w:p>
    <w:p w14:paraId="3E12252C">
      <w:pPr>
        <w:spacing w:line="360" w:lineRule="auto"/>
        <w:jc w:val="center"/>
        <w:rPr>
          <w:rFonts w:hint="eastAsia" w:ascii="楷体_GB2312" w:hAnsi="宋体" w:eastAsia="楷体_GB2312" w:cs="楷体_GB2312"/>
          <w:b/>
          <w:bCs/>
          <w:color w:val="auto"/>
          <w:sz w:val="44"/>
          <w:szCs w:val="44"/>
        </w:rPr>
      </w:pPr>
      <w:r>
        <w:rPr>
          <w:rFonts w:hint="eastAsia" w:ascii="楷体_GB2312" w:hAnsi="宋体" w:eastAsia="楷体_GB2312" w:cs="楷体_GB2312"/>
          <w:b/>
          <w:bCs/>
          <w:color w:val="auto"/>
          <w:sz w:val="44"/>
          <w:szCs w:val="44"/>
        </w:rPr>
        <w:t>有线及无线传输租赁及维护项目（202</w:t>
      </w:r>
      <w:r>
        <w:rPr>
          <w:rFonts w:hint="eastAsia" w:ascii="楷体_GB2312" w:hAnsi="宋体" w:eastAsia="楷体_GB2312" w:cs="楷体_GB2312"/>
          <w:b/>
          <w:bCs/>
          <w:color w:val="auto"/>
          <w:sz w:val="44"/>
          <w:szCs w:val="44"/>
          <w:lang w:val="en-US" w:eastAsia="zh-CN"/>
        </w:rPr>
        <w:t>6</w:t>
      </w:r>
      <w:r>
        <w:rPr>
          <w:rFonts w:hint="eastAsia" w:ascii="楷体_GB2312" w:hAnsi="宋体" w:eastAsia="楷体_GB2312" w:cs="楷体_GB2312"/>
          <w:b/>
          <w:bCs/>
          <w:color w:val="auto"/>
          <w:sz w:val="44"/>
          <w:szCs w:val="44"/>
        </w:rPr>
        <w:t>-202</w:t>
      </w:r>
      <w:r>
        <w:rPr>
          <w:rFonts w:hint="eastAsia" w:ascii="楷体_GB2312" w:hAnsi="宋体" w:eastAsia="楷体_GB2312" w:cs="楷体_GB2312"/>
          <w:b/>
          <w:bCs/>
          <w:color w:val="auto"/>
          <w:sz w:val="44"/>
          <w:szCs w:val="44"/>
          <w:lang w:val="en-US" w:eastAsia="zh-CN"/>
        </w:rPr>
        <w:t>7</w:t>
      </w:r>
      <w:r>
        <w:rPr>
          <w:rFonts w:hint="eastAsia" w:ascii="楷体_GB2312" w:hAnsi="宋体" w:eastAsia="楷体_GB2312" w:cs="楷体_GB2312"/>
          <w:b/>
          <w:bCs/>
          <w:color w:val="auto"/>
          <w:sz w:val="44"/>
          <w:szCs w:val="44"/>
        </w:rPr>
        <w:t>）</w:t>
      </w:r>
    </w:p>
    <w:p w14:paraId="0D33B292">
      <w:pPr>
        <w:spacing w:line="360" w:lineRule="auto"/>
        <w:jc w:val="center"/>
        <w:rPr>
          <w:rFonts w:hint="eastAsia" w:ascii="楷体_GB2312" w:hAnsi="宋体" w:eastAsia="楷体_GB2312" w:cs="楷体_GB2312"/>
          <w:b/>
          <w:bCs/>
          <w:color w:val="auto"/>
          <w:sz w:val="44"/>
          <w:szCs w:val="44"/>
        </w:rPr>
      </w:pPr>
      <w:r>
        <w:rPr>
          <w:rFonts w:hint="eastAsia" w:ascii="楷体_GB2312" w:hAnsi="宋体" w:eastAsia="楷体_GB2312" w:cs="楷体_GB2312"/>
          <w:b/>
          <w:bCs/>
          <w:color w:val="auto"/>
          <w:sz w:val="44"/>
          <w:szCs w:val="44"/>
        </w:rPr>
        <w:t>服务合同</w:t>
      </w:r>
    </w:p>
    <w:p w14:paraId="4F5A0A9A">
      <w:pPr>
        <w:spacing w:line="360" w:lineRule="auto"/>
        <w:rPr>
          <w:rFonts w:hint="eastAsia" w:ascii="微软雅黑" w:hAnsi="微软雅黑"/>
          <w:b/>
          <w:bCs/>
          <w:color w:val="auto"/>
        </w:rPr>
      </w:pPr>
    </w:p>
    <w:p w14:paraId="76A7461D">
      <w:pPr>
        <w:spacing w:line="360" w:lineRule="auto"/>
        <w:rPr>
          <w:rFonts w:hint="eastAsia" w:ascii="微软雅黑" w:hAnsi="微软雅黑"/>
          <w:b/>
          <w:bCs/>
          <w:color w:val="auto"/>
        </w:rPr>
      </w:pPr>
    </w:p>
    <w:p w14:paraId="219AB1D0">
      <w:pPr>
        <w:spacing w:line="360" w:lineRule="auto"/>
        <w:ind w:firstLine="422" w:firstLineChars="200"/>
        <w:rPr>
          <w:rFonts w:hint="eastAsia" w:ascii="微软雅黑" w:hAnsi="微软雅黑"/>
          <w:b/>
          <w:bCs/>
          <w:color w:val="auto"/>
        </w:rPr>
      </w:pPr>
    </w:p>
    <w:p w14:paraId="48843994">
      <w:pPr>
        <w:spacing w:line="360" w:lineRule="auto"/>
        <w:ind w:firstLine="422" w:firstLineChars="200"/>
        <w:rPr>
          <w:rFonts w:hint="eastAsia" w:ascii="微软雅黑" w:hAnsi="微软雅黑"/>
          <w:b/>
          <w:bCs/>
          <w:color w:val="auto"/>
        </w:rPr>
      </w:pPr>
    </w:p>
    <w:p w14:paraId="0BAA83E4">
      <w:pPr>
        <w:spacing w:line="360" w:lineRule="auto"/>
        <w:ind w:firstLine="422" w:firstLineChars="200"/>
        <w:rPr>
          <w:rFonts w:hint="eastAsia" w:ascii="微软雅黑" w:hAnsi="微软雅黑"/>
          <w:b/>
          <w:bCs/>
          <w:color w:val="auto"/>
        </w:rPr>
      </w:pPr>
    </w:p>
    <w:p w14:paraId="3D89DA21">
      <w:pPr>
        <w:pStyle w:val="2"/>
        <w:rPr>
          <w:rFonts w:hint="eastAsia" w:ascii="微软雅黑" w:hAnsi="微软雅黑"/>
          <w:b/>
          <w:bCs/>
          <w:color w:val="auto"/>
        </w:rPr>
      </w:pPr>
    </w:p>
    <w:p w14:paraId="302C58FC">
      <w:pPr>
        <w:pStyle w:val="2"/>
        <w:rPr>
          <w:rFonts w:hint="eastAsia" w:ascii="微软雅黑" w:hAnsi="微软雅黑"/>
          <w:b/>
          <w:bCs/>
          <w:color w:val="auto"/>
        </w:rPr>
      </w:pPr>
    </w:p>
    <w:p w14:paraId="6C010FC6">
      <w:pPr>
        <w:pStyle w:val="2"/>
        <w:rPr>
          <w:rFonts w:hint="eastAsia" w:ascii="微软雅黑" w:hAnsi="微软雅黑"/>
          <w:b/>
          <w:bCs/>
          <w:color w:val="auto"/>
        </w:rPr>
      </w:pPr>
    </w:p>
    <w:p w14:paraId="43DB63BA">
      <w:pPr>
        <w:pStyle w:val="2"/>
        <w:rPr>
          <w:rFonts w:hint="eastAsia" w:ascii="微软雅黑" w:hAnsi="微软雅黑"/>
          <w:b/>
          <w:bCs/>
          <w:color w:val="auto"/>
        </w:rPr>
      </w:pPr>
    </w:p>
    <w:p w14:paraId="09751896">
      <w:pPr>
        <w:pStyle w:val="2"/>
        <w:rPr>
          <w:rFonts w:hint="eastAsia" w:ascii="微软雅黑" w:hAnsi="微软雅黑"/>
          <w:b/>
          <w:bCs/>
          <w:color w:val="auto"/>
        </w:rPr>
      </w:pPr>
    </w:p>
    <w:p w14:paraId="7FEDFB21">
      <w:pPr>
        <w:pStyle w:val="2"/>
        <w:rPr>
          <w:rFonts w:hint="eastAsia" w:ascii="微软雅黑" w:hAnsi="微软雅黑"/>
          <w:b/>
          <w:bCs/>
          <w:color w:val="auto"/>
        </w:rPr>
      </w:pPr>
    </w:p>
    <w:p w14:paraId="4401CC03">
      <w:pPr>
        <w:spacing w:line="360" w:lineRule="auto"/>
        <w:ind w:firstLine="422" w:firstLineChars="200"/>
        <w:rPr>
          <w:rFonts w:hint="eastAsia" w:ascii="微软雅黑" w:hAnsi="微软雅黑"/>
          <w:b/>
          <w:bCs/>
          <w:color w:val="auto"/>
        </w:rPr>
      </w:pPr>
    </w:p>
    <w:p w14:paraId="075C134B">
      <w:pPr>
        <w:pStyle w:val="2"/>
        <w:rPr>
          <w:rFonts w:hint="eastAsia" w:ascii="微软雅黑" w:hAnsi="微软雅黑"/>
          <w:b/>
          <w:bCs/>
          <w:color w:val="auto"/>
        </w:rPr>
      </w:pPr>
    </w:p>
    <w:p w14:paraId="73A1E5CA">
      <w:pPr>
        <w:pStyle w:val="2"/>
        <w:rPr>
          <w:rFonts w:hint="eastAsia" w:ascii="微软雅黑" w:hAnsi="微软雅黑"/>
          <w:b/>
          <w:bCs/>
          <w:color w:val="auto"/>
        </w:rPr>
      </w:pPr>
    </w:p>
    <w:p w14:paraId="252029F7">
      <w:pPr>
        <w:spacing w:line="360" w:lineRule="auto"/>
        <w:ind w:firstLine="723" w:firstLineChars="200"/>
        <w:jc w:val="center"/>
        <w:rPr>
          <w:rFonts w:hint="eastAsia" w:ascii="微软雅黑" w:hAnsi="微软雅黑"/>
          <w:b/>
          <w:bCs/>
          <w:color w:val="auto"/>
          <w:sz w:val="36"/>
          <w:szCs w:val="36"/>
        </w:rPr>
      </w:pPr>
      <w:r>
        <w:rPr>
          <w:rFonts w:hint="eastAsia" w:ascii="微软雅黑" w:hAnsi="微软雅黑" w:cs="微软雅黑"/>
          <w:b/>
          <w:bCs/>
          <w:color w:val="auto"/>
          <w:sz w:val="36"/>
          <w:szCs w:val="36"/>
        </w:rPr>
        <w:t>中国.西安</w:t>
      </w:r>
    </w:p>
    <w:p w14:paraId="6AE1F330">
      <w:pPr>
        <w:spacing w:line="500" w:lineRule="exact"/>
        <w:ind w:firstLine="0" w:firstLineChars="0"/>
        <w:rPr>
          <w:rFonts w:hint="eastAsia" w:ascii="楷体_GB2312" w:hAnsi="宋体" w:eastAsia="楷体_GB2312" w:cs="楷体_GB2312"/>
          <w:color w:val="auto"/>
          <w:sz w:val="28"/>
          <w:szCs w:val="28"/>
        </w:rPr>
      </w:pPr>
      <w:r>
        <w:rPr>
          <w:rFonts w:hint="eastAsia" w:ascii="微软雅黑" w:hAnsi="微软雅黑"/>
          <w:b/>
          <w:bCs/>
          <w:color w:val="auto"/>
        </w:rPr>
        <w:br w:type="page"/>
      </w:r>
      <w:r>
        <w:rPr>
          <w:rFonts w:hint="eastAsia" w:ascii="楷体_GB2312" w:hAnsi="宋体" w:eastAsia="楷体_GB2312" w:cs="楷体_GB2312"/>
          <w:color w:val="auto"/>
          <w:sz w:val="28"/>
          <w:szCs w:val="28"/>
        </w:rPr>
        <w:t>甲方：</w:t>
      </w:r>
    </w:p>
    <w:p w14:paraId="5766160F">
      <w:pPr>
        <w:spacing w:line="500" w:lineRule="exact"/>
        <w:ind w:firstLine="0" w:firstLineChars="0"/>
        <w:rPr>
          <w:rFonts w:hint="eastAsia" w:ascii="楷体_GB2312" w:hAnsi="宋体" w:eastAsia="楷体_GB2312" w:cs="楷体_GB2312"/>
          <w:color w:val="auto"/>
          <w:sz w:val="28"/>
          <w:szCs w:val="28"/>
          <w:lang w:eastAsia="zh-CN"/>
        </w:rPr>
      </w:pPr>
      <w:r>
        <w:rPr>
          <w:rFonts w:hint="eastAsia" w:ascii="楷体_GB2312" w:hAnsi="宋体" w:eastAsia="楷体_GB2312" w:cs="楷体_GB2312"/>
          <w:color w:val="auto"/>
          <w:sz w:val="28"/>
          <w:szCs w:val="28"/>
        </w:rPr>
        <w:t>乙方：</w:t>
      </w:r>
    </w:p>
    <w:p w14:paraId="342F951F">
      <w:pPr>
        <w:spacing w:line="500" w:lineRule="exact"/>
        <w:ind w:firstLine="560" w:firstLineChars="200"/>
        <w:rPr>
          <w:rFonts w:hint="eastAsia" w:ascii="楷体_GB2312" w:hAnsi="宋体" w:eastAsia="楷体_GB2312" w:cs="楷体_GB2312"/>
          <w:color w:val="auto"/>
          <w:sz w:val="28"/>
          <w:szCs w:val="28"/>
        </w:rPr>
      </w:pPr>
      <w:r>
        <w:rPr>
          <w:rFonts w:hint="eastAsia" w:ascii="楷体_GB2312" w:hAnsi="宋体" w:eastAsia="楷体_GB2312" w:cs="楷体_GB2312"/>
          <w:color w:val="auto"/>
          <w:sz w:val="28"/>
          <w:szCs w:val="28"/>
        </w:rPr>
        <w:t>经甲乙双方友好协商，甲方同意以本合同约定的条款向乙方购买合同中约定的服务，乙方同意以本合同约定的条件向甲方提供服务，双方在协商一致的基础上，遵照《中华人民共和国</w:t>
      </w:r>
      <w:r>
        <w:rPr>
          <w:rFonts w:hint="eastAsia" w:ascii="楷体_GB2312" w:hAnsi="宋体" w:eastAsia="楷体_GB2312" w:cs="楷体_GB2312"/>
          <w:color w:val="auto"/>
          <w:sz w:val="28"/>
          <w:szCs w:val="28"/>
          <w:lang w:val="en-US" w:eastAsia="zh-CN"/>
        </w:rPr>
        <w:t>民法典</w:t>
      </w:r>
      <w:r>
        <w:rPr>
          <w:rFonts w:hint="eastAsia" w:ascii="楷体_GB2312" w:hAnsi="宋体" w:eastAsia="楷体_GB2312" w:cs="楷体_GB2312"/>
          <w:color w:val="auto"/>
          <w:sz w:val="28"/>
          <w:szCs w:val="28"/>
        </w:rPr>
        <w:t>》等法律法规，签署如下合同：</w:t>
      </w:r>
    </w:p>
    <w:p w14:paraId="77B1DB93">
      <w:pPr>
        <w:spacing w:line="500" w:lineRule="exact"/>
        <w:ind w:left="720"/>
        <w:outlineLvl w:val="0"/>
        <w:rPr>
          <w:rFonts w:hint="eastAsia" w:ascii="楷体_GB2312" w:hAnsi="宋体" w:eastAsia="楷体_GB2312"/>
          <w:b/>
          <w:bCs/>
          <w:color w:val="auto"/>
          <w:sz w:val="28"/>
          <w:szCs w:val="28"/>
        </w:rPr>
      </w:pPr>
      <w:r>
        <w:rPr>
          <w:rFonts w:hint="eastAsia" w:ascii="楷体_GB2312" w:hAnsi="宋体" w:eastAsia="楷体_GB2312" w:cs="楷体_GB2312"/>
          <w:b/>
          <w:bCs/>
          <w:color w:val="auto"/>
          <w:sz w:val="28"/>
          <w:szCs w:val="28"/>
        </w:rPr>
        <w:t>一、定义</w:t>
      </w:r>
    </w:p>
    <w:p w14:paraId="525A3142">
      <w:pPr>
        <w:spacing w:line="500" w:lineRule="exact"/>
        <w:ind w:firstLine="560" w:firstLineChars="200"/>
        <w:rPr>
          <w:rFonts w:hint="eastAsia" w:ascii="楷体_GB2312" w:hAnsi="宋体" w:eastAsia="楷体_GB2312"/>
          <w:color w:val="auto"/>
          <w:sz w:val="28"/>
          <w:szCs w:val="28"/>
        </w:rPr>
      </w:pPr>
      <w:r>
        <w:rPr>
          <w:rFonts w:hint="eastAsia" w:ascii="楷体_GB2312" w:hAnsi="宋体" w:eastAsia="楷体_GB2312" w:cs="楷体_GB2312"/>
          <w:color w:val="auto"/>
          <w:sz w:val="28"/>
          <w:szCs w:val="28"/>
        </w:rPr>
        <w:t>1、“数据通信服务”：指本合同项下乙方向甲方提供的数据通信设备及服务，包括本合同及合同附件中约定的所有乙方向甲方提供的数据通信设备及服务工作内容；</w:t>
      </w:r>
    </w:p>
    <w:p w14:paraId="6EF68450">
      <w:pPr>
        <w:spacing w:line="500" w:lineRule="exact"/>
        <w:ind w:firstLine="560" w:firstLineChars="200"/>
        <w:rPr>
          <w:rFonts w:hint="eastAsia" w:ascii="楷体_GB2312" w:hAnsi="宋体" w:eastAsia="楷体_GB2312"/>
          <w:color w:val="auto"/>
          <w:sz w:val="28"/>
          <w:szCs w:val="28"/>
        </w:rPr>
      </w:pPr>
      <w:r>
        <w:rPr>
          <w:rFonts w:hint="eastAsia" w:ascii="楷体_GB2312" w:hAnsi="宋体" w:eastAsia="楷体_GB2312" w:cs="楷体_GB2312"/>
          <w:color w:val="auto"/>
          <w:sz w:val="28"/>
          <w:szCs w:val="28"/>
        </w:rPr>
        <w:t>2、“服务价款”：指合同价款，即甲方依据合同的约定向乙方支付的维护服务的对价，也称“服务费”；</w:t>
      </w:r>
    </w:p>
    <w:p w14:paraId="31C00FD3">
      <w:pPr>
        <w:spacing w:line="500" w:lineRule="exact"/>
        <w:ind w:firstLine="560" w:firstLineChars="200"/>
        <w:rPr>
          <w:rFonts w:hint="eastAsia" w:ascii="楷体_GB2312" w:hAnsi="宋体" w:eastAsia="楷体_GB2312"/>
          <w:color w:val="auto"/>
          <w:sz w:val="28"/>
          <w:szCs w:val="28"/>
        </w:rPr>
      </w:pPr>
      <w:r>
        <w:rPr>
          <w:rFonts w:hint="eastAsia" w:ascii="楷体_GB2312" w:hAnsi="宋体" w:eastAsia="楷体_GB2312" w:cs="楷体_GB2312"/>
          <w:color w:val="auto"/>
          <w:sz w:val="28"/>
          <w:szCs w:val="28"/>
        </w:rPr>
        <w:t>3、“服务期限”：指合同中约定的乙方提供维护服务的期限，在此期限内，甲方有权获得合同范围内的服务；</w:t>
      </w:r>
    </w:p>
    <w:p w14:paraId="4A0B5F92">
      <w:pPr>
        <w:spacing w:line="500" w:lineRule="exact"/>
        <w:ind w:left="720"/>
        <w:outlineLvl w:val="0"/>
        <w:rPr>
          <w:rFonts w:hint="eastAsia" w:ascii="楷体_GB2312" w:hAnsi="宋体" w:eastAsia="楷体_GB2312" w:cs="楷体_GB2312"/>
          <w:b/>
          <w:bCs/>
          <w:color w:val="auto"/>
          <w:sz w:val="28"/>
          <w:szCs w:val="28"/>
        </w:rPr>
      </w:pPr>
      <w:r>
        <w:rPr>
          <w:rFonts w:hint="eastAsia" w:ascii="楷体_GB2312" w:hAnsi="宋体" w:eastAsia="楷体_GB2312" w:cs="楷体_GB2312"/>
          <w:b/>
          <w:bCs/>
          <w:color w:val="auto"/>
          <w:sz w:val="28"/>
          <w:szCs w:val="28"/>
        </w:rPr>
        <w:t>二、服务内容及服务明细</w:t>
      </w:r>
    </w:p>
    <w:p w14:paraId="1F7F3DB6">
      <w:pPr>
        <w:spacing w:line="500" w:lineRule="exact"/>
        <w:rPr>
          <w:rFonts w:hint="eastAsia" w:ascii="楷体_GB2312" w:hAnsi="宋体" w:eastAsia="楷体_GB2312"/>
          <w:color w:val="auto"/>
          <w:sz w:val="28"/>
          <w:szCs w:val="28"/>
        </w:rPr>
      </w:pPr>
      <w:r>
        <w:rPr>
          <w:rFonts w:hint="eastAsia" w:ascii="楷体_GB2312" w:hAnsi="宋体" w:eastAsia="楷体_GB2312" w:cs="楷体_GB2312"/>
          <w:color w:val="auto"/>
          <w:sz w:val="28"/>
          <w:szCs w:val="28"/>
        </w:rPr>
        <w:t xml:space="preserve">    （一）本合同服务内容如下：</w:t>
      </w:r>
    </w:p>
    <w:p w14:paraId="427CFEB2">
      <w:pPr>
        <w:spacing w:line="500" w:lineRule="exact"/>
        <w:rPr>
          <w:rFonts w:hint="eastAsia" w:ascii="楷体_GB2312" w:hAnsi="宋体" w:eastAsia="楷体_GB2312" w:cs="楷体_GB2312"/>
          <w:color w:val="auto"/>
          <w:sz w:val="28"/>
          <w:szCs w:val="28"/>
        </w:rPr>
      </w:pPr>
      <w:r>
        <w:rPr>
          <w:rFonts w:hint="eastAsia" w:ascii="楷体_GB2312" w:hAnsi="宋体" w:eastAsia="楷体_GB2312" w:cs="楷体_GB2312"/>
          <w:color w:val="auto"/>
          <w:sz w:val="28"/>
          <w:szCs w:val="28"/>
        </w:rPr>
        <w:t xml:space="preserve">     有线及无线传输线路租赁及维护服务。</w:t>
      </w:r>
    </w:p>
    <w:p w14:paraId="2712D0EB">
      <w:pPr>
        <w:spacing w:line="500" w:lineRule="exact"/>
        <w:rPr>
          <w:rFonts w:hint="eastAsia" w:ascii="楷体_GB2312" w:hAnsi="宋体" w:eastAsia="楷体_GB2312" w:cs="楷体_GB2312"/>
          <w:color w:val="auto"/>
          <w:sz w:val="28"/>
          <w:szCs w:val="28"/>
        </w:rPr>
      </w:pPr>
      <w:r>
        <w:rPr>
          <w:rFonts w:hint="eastAsia" w:ascii="楷体_GB2312" w:hAnsi="宋体" w:eastAsia="楷体_GB2312" w:cs="楷体_GB2312"/>
          <w:color w:val="auto"/>
          <w:sz w:val="28"/>
          <w:szCs w:val="28"/>
        </w:rPr>
        <w:t xml:space="preserve">    （二）</w:t>
      </w:r>
      <w:r>
        <w:rPr>
          <w:rFonts w:hint="eastAsia" w:ascii="楷体_GB2312" w:hAnsi="宋体" w:eastAsia="楷体_GB2312" w:cs="楷体_GB2312"/>
          <w:color w:val="auto"/>
          <w:sz w:val="28"/>
          <w:szCs w:val="28"/>
          <w:lang w:val="en-US" w:eastAsia="zh-Hans"/>
        </w:rPr>
        <w:t>乙方提供的</w:t>
      </w:r>
      <w:r>
        <w:rPr>
          <w:rFonts w:hint="eastAsia" w:ascii="楷体_GB2312" w:hAnsi="宋体" w:eastAsia="楷体_GB2312" w:cs="楷体_GB2312"/>
          <w:color w:val="auto"/>
          <w:sz w:val="28"/>
          <w:szCs w:val="28"/>
        </w:rPr>
        <w:t>服务内容为：</w:t>
      </w:r>
    </w:p>
    <w:p w14:paraId="47AA29B3">
      <w:pPr>
        <w:spacing w:line="500" w:lineRule="exact"/>
        <w:ind w:firstLine="560" w:firstLineChars="200"/>
        <w:rPr>
          <w:rFonts w:hint="eastAsia" w:ascii="楷体_GB2312" w:hAnsi="宋体" w:eastAsia="楷体_GB2312" w:cs="楷体_GB2312"/>
          <w:color w:val="auto"/>
          <w:sz w:val="28"/>
          <w:szCs w:val="28"/>
        </w:rPr>
      </w:pPr>
      <w:r>
        <w:rPr>
          <w:rFonts w:hint="eastAsia" w:ascii="楷体_GB2312" w:hAnsi="宋体" w:eastAsia="楷体_GB2312" w:cs="楷体_GB2312"/>
          <w:color w:val="auto"/>
          <w:sz w:val="28"/>
          <w:szCs w:val="28"/>
        </w:rPr>
        <w:t>1.负责对约定租用的所有有线及无线线路进行维护、维修。</w:t>
      </w:r>
    </w:p>
    <w:p w14:paraId="5785191C">
      <w:pPr>
        <w:spacing w:line="500" w:lineRule="exact"/>
        <w:ind w:firstLine="560" w:firstLineChars="200"/>
        <w:rPr>
          <w:rFonts w:hint="eastAsia" w:ascii="楷体_GB2312" w:hAnsi="宋体" w:eastAsia="楷体_GB2312" w:cs="楷体_GB2312"/>
          <w:color w:val="auto"/>
          <w:sz w:val="28"/>
          <w:szCs w:val="28"/>
        </w:rPr>
      </w:pPr>
      <w:r>
        <w:rPr>
          <w:rFonts w:hint="eastAsia" w:ascii="楷体_GB2312" w:hAnsi="宋体" w:eastAsia="楷体_GB2312" w:cs="楷体_GB2312"/>
          <w:color w:val="auto"/>
          <w:sz w:val="28"/>
          <w:szCs w:val="28"/>
        </w:rPr>
        <w:t>2.保证出租的线路的质量和服务水平符合工业和信息化部的标准和规定，线路维护依照通信行业相关标准及相关服务级别要求执行。</w:t>
      </w:r>
    </w:p>
    <w:p w14:paraId="5212EDB8">
      <w:pPr>
        <w:spacing w:line="500" w:lineRule="exact"/>
        <w:ind w:firstLine="560" w:firstLineChars="200"/>
        <w:rPr>
          <w:rFonts w:hint="eastAsia" w:ascii="楷体_GB2312" w:hAnsi="宋体" w:eastAsia="楷体_GB2312" w:cs="楷体_GB2312"/>
          <w:color w:val="auto"/>
          <w:sz w:val="28"/>
          <w:szCs w:val="28"/>
        </w:rPr>
      </w:pPr>
      <w:r>
        <w:rPr>
          <w:rFonts w:hint="eastAsia" w:ascii="楷体_GB2312" w:hAnsi="宋体" w:eastAsia="楷体_GB2312" w:cs="楷体_GB2312"/>
          <w:color w:val="auto"/>
          <w:sz w:val="28"/>
          <w:szCs w:val="28"/>
        </w:rPr>
        <w:t>3.保证出租所有有线及无线线路的质量达到规定要求，并及时维护检修，确保用户方正常使用。若线路出现故障，应</w:t>
      </w:r>
      <w:r>
        <w:rPr>
          <w:rFonts w:hint="eastAsia" w:ascii="楷体_GB2312" w:hAnsi="宋体" w:eastAsia="楷体_GB2312" w:cs="楷体_GB2312"/>
          <w:color w:val="auto"/>
          <w:sz w:val="28"/>
          <w:szCs w:val="28"/>
          <w:lang w:val="en-US" w:eastAsia="zh-CN"/>
        </w:rPr>
        <w:t>于2小时内</w:t>
      </w:r>
      <w:r>
        <w:rPr>
          <w:rFonts w:hint="eastAsia" w:ascii="楷体_GB2312" w:hAnsi="宋体" w:eastAsia="楷体_GB2312" w:cs="楷体_GB2312"/>
          <w:color w:val="auto"/>
          <w:sz w:val="28"/>
          <w:szCs w:val="28"/>
        </w:rPr>
        <w:t>迅速组织抢修，</w:t>
      </w:r>
      <w:r>
        <w:rPr>
          <w:rFonts w:hint="eastAsia" w:ascii="楷体_GB2312" w:hAnsi="宋体" w:eastAsia="楷体_GB2312" w:cs="楷体_GB2312"/>
          <w:color w:val="auto"/>
          <w:sz w:val="28"/>
          <w:szCs w:val="28"/>
          <w:lang w:val="en-US" w:eastAsia="zh-CN"/>
        </w:rPr>
        <w:t>至迟24小时内维修完毕，</w:t>
      </w:r>
      <w:r>
        <w:rPr>
          <w:rFonts w:hint="eastAsia" w:ascii="楷体_GB2312" w:hAnsi="宋体" w:eastAsia="楷体_GB2312" w:cs="楷体_GB2312"/>
          <w:color w:val="auto"/>
          <w:sz w:val="28"/>
          <w:szCs w:val="28"/>
        </w:rPr>
        <w:t>其费用包含在租赁维护费中。</w:t>
      </w:r>
    </w:p>
    <w:p w14:paraId="71FEE19D">
      <w:pPr>
        <w:spacing w:line="500" w:lineRule="exact"/>
        <w:ind w:firstLine="560" w:firstLineChars="200"/>
        <w:rPr>
          <w:rFonts w:hint="eastAsia" w:ascii="楷体_GB2312" w:hAnsi="宋体" w:eastAsia="楷体_GB2312" w:cs="楷体_GB2312"/>
          <w:color w:val="auto"/>
          <w:sz w:val="28"/>
          <w:szCs w:val="28"/>
        </w:rPr>
      </w:pPr>
      <w:r>
        <w:rPr>
          <w:rFonts w:hint="eastAsia" w:ascii="楷体_GB2312" w:hAnsi="宋体" w:eastAsia="楷体_GB2312" w:cs="楷体_GB2312"/>
          <w:color w:val="auto"/>
          <w:sz w:val="28"/>
          <w:szCs w:val="28"/>
        </w:rPr>
        <w:t>4.非用户方的原因造成传输线路的中断，</w:t>
      </w:r>
      <w:r>
        <w:rPr>
          <w:rFonts w:hint="eastAsia" w:ascii="楷体_GB2312" w:hAnsi="宋体" w:eastAsia="楷体_GB2312" w:cs="楷体_GB2312"/>
          <w:color w:val="auto"/>
          <w:sz w:val="28"/>
          <w:szCs w:val="28"/>
          <w:lang w:val="en-US" w:eastAsia="zh-CN"/>
        </w:rPr>
        <w:t>24小时内</w:t>
      </w:r>
      <w:r>
        <w:rPr>
          <w:rFonts w:hint="eastAsia" w:ascii="楷体_GB2312" w:hAnsi="宋体" w:eastAsia="楷体_GB2312" w:cs="楷体_GB2312"/>
          <w:color w:val="auto"/>
          <w:sz w:val="28"/>
          <w:szCs w:val="28"/>
        </w:rPr>
        <w:t>负责恢复。负责向用户所提供线路以及相关设备的定期检查、日常维护、修缮及保养，加强值班和监测，保证线路不中断，当线路发生故障时，应及时通知用户方并</w:t>
      </w:r>
      <w:r>
        <w:rPr>
          <w:rFonts w:hint="eastAsia" w:ascii="楷体_GB2312" w:hAnsi="宋体" w:eastAsia="楷体_GB2312" w:cs="楷体_GB2312"/>
          <w:color w:val="auto"/>
          <w:sz w:val="28"/>
          <w:szCs w:val="28"/>
          <w:lang w:val="en-US" w:eastAsia="zh-CN"/>
        </w:rPr>
        <w:t>按照招标文件内的要求进行</w:t>
      </w:r>
      <w:r>
        <w:rPr>
          <w:rFonts w:hint="eastAsia" w:ascii="楷体_GB2312" w:hAnsi="宋体" w:eastAsia="楷体_GB2312" w:cs="楷体_GB2312"/>
          <w:color w:val="auto"/>
          <w:sz w:val="28"/>
          <w:szCs w:val="28"/>
        </w:rPr>
        <w:t>修复。</w:t>
      </w:r>
    </w:p>
    <w:p w14:paraId="45E82175">
      <w:pPr>
        <w:spacing w:line="500" w:lineRule="exact"/>
        <w:ind w:firstLine="560" w:firstLineChars="200"/>
        <w:rPr>
          <w:rFonts w:hint="eastAsia" w:ascii="楷体_GB2312" w:hAnsi="宋体" w:eastAsia="楷体_GB2312" w:cs="楷体_GB2312"/>
          <w:color w:val="auto"/>
          <w:sz w:val="28"/>
          <w:szCs w:val="28"/>
        </w:rPr>
      </w:pPr>
      <w:r>
        <w:rPr>
          <w:rFonts w:hint="eastAsia" w:ascii="楷体_GB2312" w:hAnsi="宋体" w:eastAsia="楷体_GB2312" w:cs="楷体_GB2312"/>
          <w:color w:val="auto"/>
          <w:sz w:val="28"/>
          <w:szCs w:val="28"/>
        </w:rPr>
        <w:t>5.尽可能采用各种有效方式组织用户方租用光纤线路的通路，最大限度的保障线路的安全运行。由于割接、维修等正常计划原因需中断租用的线路时，应在</w:t>
      </w:r>
      <w:r>
        <w:rPr>
          <w:rFonts w:hint="eastAsia" w:ascii="楷体_GB2312" w:hAnsi="宋体" w:eastAsia="楷体_GB2312" w:cs="楷体_GB2312"/>
          <w:color w:val="auto"/>
          <w:sz w:val="28"/>
          <w:szCs w:val="28"/>
          <w:lang w:val="en-US" w:eastAsia="zh-CN"/>
        </w:rPr>
        <w:t>招标文件规定的时间内</w:t>
      </w:r>
      <w:r>
        <w:rPr>
          <w:rFonts w:hint="eastAsia" w:ascii="楷体_GB2312" w:hAnsi="宋体" w:eastAsia="楷体_GB2312" w:cs="楷体_GB2312"/>
          <w:color w:val="auto"/>
          <w:sz w:val="28"/>
          <w:szCs w:val="28"/>
        </w:rPr>
        <w:t>通知用户方，并安排相应措施尽量保证该光纤线路的畅通。</w:t>
      </w:r>
    </w:p>
    <w:p w14:paraId="5A518415">
      <w:pPr>
        <w:spacing w:line="500" w:lineRule="exact"/>
        <w:ind w:firstLine="560" w:firstLineChars="200"/>
        <w:rPr>
          <w:rFonts w:hint="eastAsia" w:ascii="楷体_GB2312" w:hAnsi="宋体" w:eastAsia="楷体_GB2312" w:cs="楷体_GB2312"/>
          <w:color w:val="auto"/>
          <w:sz w:val="28"/>
          <w:szCs w:val="28"/>
          <w:lang w:val="en-US" w:eastAsia="zh-CN"/>
        </w:rPr>
      </w:pPr>
      <w:r>
        <w:rPr>
          <w:rFonts w:hint="eastAsia" w:ascii="楷体_GB2312" w:hAnsi="宋体" w:eastAsia="楷体_GB2312" w:cs="楷体_GB2312"/>
          <w:color w:val="auto"/>
          <w:sz w:val="28"/>
          <w:szCs w:val="28"/>
          <w:lang w:val="en-US" w:eastAsia="zh-CN"/>
        </w:rPr>
        <w:t>6.成交通知书、响应文件、竞争性磋商文件、澄清、响应补充文件；相关服务建议书；双方依法签订的补充协议都是本合同文件的组成部分，与本合同具有同等法律效力。</w:t>
      </w:r>
    </w:p>
    <w:p w14:paraId="5A0E54C6">
      <w:pPr>
        <w:spacing w:line="500" w:lineRule="exact"/>
        <w:ind w:firstLine="560" w:firstLineChars="200"/>
        <w:rPr>
          <w:rFonts w:hint="eastAsia" w:ascii="楷体_GB2312" w:hAnsi="宋体" w:eastAsia="楷体_GB2312" w:cs="楷体_GB2312"/>
          <w:color w:val="auto"/>
          <w:sz w:val="28"/>
          <w:szCs w:val="28"/>
        </w:rPr>
      </w:pPr>
      <w:r>
        <w:rPr>
          <w:rFonts w:hint="eastAsia" w:ascii="楷体_GB2312" w:hAnsi="宋体" w:eastAsia="楷体_GB2312" w:cs="楷体_GB2312"/>
          <w:color w:val="auto"/>
          <w:sz w:val="28"/>
          <w:szCs w:val="28"/>
          <w:lang w:val="en-US" w:eastAsia="zh-CN"/>
        </w:rPr>
        <w:t>7.</w:t>
      </w:r>
      <w:r>
        <w:rPr>
          <w:rFonts w:hint="eastAsia" w:ascii="楷体_GB2312" w:hAnsi="宋体" w:eastAsia="楷体_GB2312" w:cs="楷体_GB2312"/>
          <w:color w:val="auto"/>
          <w:sz w:val="28"/>
          <w:szCs w:val="28"/>
        </w:rPr>
        <w:t>无条件免费配合</w:t>
      </w:r>
      <w:r>
        <w:rPr>
          <w:rFonts w:hint="eastAsia" w:ascii="楷体_GB2312" w:hAnsi="宋体" w:eastAsia="楷体_GB2312" w:cs="楷体_GB2312"/>
          <w:color w:val="auto"/>
          <w:sz w:val="28"/>
          <w:szCs w:val="28"/>
          <w:lang w:val="en-US" w:eastAsia="zh-Hans"/>
        </w:rPr>
        <w:t>甲方</w:t>
      </w:r>
      <w:r>
        <w:rPr>
          <w:rFonts w:hint="eastAsia" w:ascii="楷体_GB2312" w:hAnsi="宋体" w:eastAsia="楷体_GB2312" w:cs="楷体_GB2312"/>
          <w:color w:val="auto"/>
          <w:sz w:val="28"/>
          <w:szCs w:val="28"/>
        </w:rPr>
        <w:t>实施的“未央区城市运行管理服务平台建设”项目，包括本次招标所包含的所有硬件、软件、传输的迁移工作。</w:t>
      </w:r>
    </w:p>
    <w:p w14:paraId="3954C5E1">
      <w:pPr>
        <w:spacing w:line="500" w:lineRule="exact"/>
        <w:ind w:firstLine="560" w:firstLineChars="200"/>
        <w:rPr>
          <w:rFonts w:hint="eastAsia" w:ascii="楷体_GB2312" w:hAnsi="宋体" w:eastAsia="楷体_GB2312" w:cs="楷体_GB2312"/>
          <w:color w:val="auto"/>
          <w:kern w:val="2"/>
          <w:sz w:val="28"/>
          <w:szCs w:val="28"/>
          <w:lang w:val="en-US" w:eastAsia="zh-CN" w:bidi="ar-SA"/>
        </w:rPr>
      </w:pPr>
      <w:r>
        <w:rPr>
          <w:rFonts w:hint="eastAsia" w:ascii="楷体_GB2312" w:hAnsi="宋体" w:eastAsia="楷体_GB2312" w:cs="楷体_GB2312"/>
          <w:color w:val="auto"/>
          <w:sz w:val="28"/>
          <w:szCs w:val="28"/>
          <w:lang w:val="en-US" w:eastAsia="zh-CN"/>
        </w:rPr>
        <w:t>8.第9</w:t>
      </w:r>
      <w:r>
        <w:rPr>
          <w:rFonts w:hint="eastAsia" w:ascii="楷体_GB2312" w:hAnsi="宋体" w:eastAsia="楷体_GB2312" w:cs="楷体_GB2312"/>
          <w:color w:val="auto"/>
          <w:sz w:val="28"/>
          <w:szCs w:val="28"/>
          <w:highlight w:val="none"/>
          <w:shd w:val="clear" w:color="auto" w:fill="auto"/>
          <w:lang w:val="en-US" w:eastAsia="zh-CN"/>
        </w:rPr>
        <w:t>项（4G/5G 流量卡）、第11项（4G/5G传输设备）按照实际发生结算，乙方报清单，甲方确认</w:t>
      </w:r>
      <w:r>
        <w:rPr>
          <w:rFonts w:hint="eastAsia" w:ascii="楷体_GB2312" w:hAnsi="宋体" w:eastAsia="楷体_GB2312" w:cs="楷体_GB2312"/>
          <w:color w:val="auto"/>
          <w:kern w:val="2"/>
          <w:sz w:val="28"/>
          <w:szCs w:val="28"/>
          <w:lang w:val="en-US" w:eastAsia="zh-CN" w:bidi="ar-SA"/>
        </w:rPr>
        <w:t>。</w:t>
      </w:r>
    </w:p>
    <w:p w14:paraId="7C9E54B0">
      <w:pPr>
        <w:spacing w:line="500" w:lineRule="exact"/>
        <w:ind w:left="720"/>
        <w:outlineLvl w:val="0"/>
        <w:rPr>
          <w:rFonts w:hint="eastAsia" w:ascii="楷体_GB2312" w:hAnsi="宋体" w:eastAsia="楷体_GB2312" w:cs="楷体_GB2312"/>
          <w:b/>
          <w:bCs/>
          <w:color w:val="auto"/>
          <w:sz w:val="28"/>
          <w:szCs w:val="28"/>
        </w:rPr>
      </w:pPr>
      <w:r>
        <w:rPr>
          <w:rFonts w:hint="eastAsia" w:ascii="楷体_GB2312" w:hAnsi="宋体" w:eastAsia="楷体_GB2312" w:cs="楷体_GB2312"/>
          <w:b/>
          <w:bCs/>
          <w:color w:val="auto"/>
          <w:sz w:val="28"/>
          <w:szCs w:val="28"/>
        </w:rPr>
        <w:t>三、合同金额</w:t>
      </w:r>
    </w:p>
    <w:p w14:paraId="3440DE34">
      <w:pPr>
        <w:spacing w:line="500" w:lineRule="exact"/>
        <w:ind w:firstLine="560" w:firstLineChars="200"/>
        <w:rPr>
          <w:rFonts w:hint="default" w:ascii="楷体_GB2312" w:hAnsi="宋体" w:eastAsia="楷体_GB2312" w:cs="楷体_GB2312"/>
          <w:color w:val="auto"/>
          <w:sz w:val="28"/>
          <w:szCs w:val="28"/>
          <w:lang w:val="en-US" w:eastAsia="zh-CN"/>
        </w:rPr>
      </w:pPr>
      <w:r>
        <w:rPr>
          <w:rFonts w:hint="eastAsia" w:ascii="楷体_GB2312" w:hAnsi="宋体" w:eastAsia="楷体_GB2312" w:cs="楷体_GB2312"/>
          <w:b w:val="0"/>
          <w:bCs w:val="0"/>
          <w:color w:val="auto"/>
          <w:sz w:val="28"/>
          <w:szCs w:val="28"/>
        </w:rPr>
        <w:t>本合同总金额含税价</w:t>
      </w:r>
      <w:r>
        <w:rPr>
          <w:rFonts w:hint="eastAsia" w:ascii="楷体_GB2312" w:hAnsi="宋体" w:eastAsia="楷体_GB2312" w:cs="楷体_GB2312"/>
          <w:b w:val="0"/>
          <w:bCs w:val="0"/>
          <w:color w:val="auto"/>
          <w:sz w:val="28"/>
          <w:szCs w:val="28"/>
          <w:lang w:val="en-US" w:eastAsia="zh-Hans"/>
        </w:rPr>
        <w:t>暂计</w:t>
      </w:r>
      <w:r>
        <w:rPr>
          <w:rFonts w:hint="eastAsia" w:ascii="楷体_GB2312" w:hAnsi="宋体" w:eastAsia="楷体_GB2312" w:cs="楷体_GB2312"/>
          <w:b w:val="0"/>
          <w:bCs w:val="0"/>
          <w:color w:val="auto"/>
          <w:sz w:val="28"/>
          <w:szCs w:val="28"/>
        </w:rPr>
        <w:t>为小写</w:t>
      </w:r>
      <w:r>
        <w:rPr>
          <w:rFonts w:hint="eastAsia" w:ascii="楷体_GB2312" w:hAnsi="宋体" w:eastAsia="楷体_GB2312" w:cs="楷体_GB2312"/>
          <w:b w:val="0"/>
          <w:bCs w:val="0"/>
          <w:color w:val="auto"/>
          <w:sz w:val="28"/>
          <w:szCs w:val="28"/>
          <w:u w:val="single"/>
          <w:lang w:val="en-US" w:eastAsia="zh-CN"/>
        </w:rPr>
        <w:t xml:space="preserve">     </w:t>
      </w:r>
      <w:r>
        <w:rPr>
          <w:rFonts w:hint="eastAsia" w:ascii="楷体_GB2312" w:hAnsi="宋体" w:eastAsia="楷体_GB2312" w:cs="楷体_GB2312"/>
          <w:b w:val="0"/>
          <w:bCs w:val="0"/>
          <w:color w:val="auto"/>
          <w:sz w:val="28"/>
          <w:szCs w:val="28"/>
        </w:rPr>
        <w:t>元整</w:t>
      </w:r>
      <w:r>
        <w:rPr>
          <w:rFonts w:hint="eastAsia" w:ascii="楷体_GB2312" w:hAnsi="宋体" w:eastAsia="楷体_GB2312" w:cs="楷体_GB2312"/>
          <w:b w:val="0"/>
          <w:bCs w:val="0"/>
          <w:color w:val="auto"/>
          <w:sz w:val="28"/>
          <w:szCs w:val="28"/>
          <w:lang w:eastAsia="zh-CN"/>
        </w:rPr>
        <w:t>（</w:t>
      </w:r>
      <w:r>
        <w:rPr>
          <w:rFonts w:hint="eastAsia" w:ascii="楷体_GB2312" w:hAnsi="宋体" w:eastAsia="楷体_GB2312" w:cs="楷体_GB2312"/>
          <w:b w:val="0"/>
          <w:bCs w:val="0"/>
          <w:color w:val="auto"/>
          <w:sz w:val="28"/>
          <w:szCs w:val="28"/>
          <w:lang w:val="en-US" w:eastAsia="zh-CN"/>
        </w:rPr>
        <w:t>含税</w:t>
      </w:r>
      <w:r>
        <w:rPr>
          <w:rFonts w:hint="eastAsia" w:ascii="楷体_GB2312" w:hAnsi="宋体" w:eastAsia="楷体_GB2312" w:cs="楷体_GB2312"/>
          <w:b w:val="0"/>
          <w:bCs w:val="0"/>
          <w:color w:val="auto"/>
          <w:sz w:val="28"/>
          <w:szCs w:val="28"/>
          <w:lang w:eastAsia="zh-CN"/>
        </w:rPr>
        <w:t>）</w:t>
      </w:r>
      <w:r>
        <w:rPr>
          <w:rFonts w:hint="eastAsia" w:ascii="楷体_GB2312" w:hAnsi="宋体" w:eastAsia="楷体_GB2312" w:cs="楷体_GB2312"/>
          <w:b w:val="0"/>
          <w:bCs w:val="0"/>
          <w:color w:val="auto"/>
          <w:sz w:val="28"/>
          <w:szCs w:val="28"/>
        </w:rPr>
        <w:t>，大写</w:t>
      </w:r>
      <w:r>
        <w:rPr>
          <w:rFonts w:hint="eastAsia" w:ascii="楷体_GB2312" w:hAnsi="宋体" w:eastAsia="楷体_GB2312" w:cs="楷体_GB2312"/>
          <w:b w:val="0"/>
          <w:bCs w:val="0"/>
          <w:color w:val="000000"/>
          <w:sz w:val="28"/>
          <w:szCs w:val="28"/>
          <w:u w:val="single"/>
          <w:lang w:val="en-US" w:eastAsia="zh-CN"/>
        </w:rPr>
        <w:t xml:space="preserve">       </w:t>
      </w:r>
      <w:r>
        <w:rPr>
          <w:rFonts w:hint="eastAsia" w:ascii="楷体_GB2312" w:hAnsi="宋体" w:eastAsia="楷体_GB2312" w:cs="楷体_GB2312"/>
          <w:b w:val="0"/>
          <w:bCs w:val="0"/>
          <w:color w:val="000000"/>
          <w:sz w:val="28"/>
          <w:szCs w:val="28"/>
        </w:rPr>
        <w:t>，</w:t>
      </w:r>
      <w:r>
        <w:rPr>
          <w:rFonts w:hint="eastAsia" w:ascii="楷体_GB2312" w:hAnsi="宋体" w:eastAsia="楷体_GB2312" w:cs="楷体_GB2312"/>
          <w:color w:val="000000"/>
          <w:sz w:val="28"/>
          <w:szCs w:val="28"/>
          <w:lang w:val="en-US" w:eastAsia="zh-CN"/>
        </w:rPr>
        <w:t>最终以双方确认的审核结算价格为准。</w:t>
      </w:r>
      <w:r>
        <w:rPr>
          <w:rFonts w:hint="eastAsia" w:ascii="楷体_GB2312" w:hAnsi="宋体" w:eastAsia="楷体_GB2312" w:cs="楷体_GB2312"/>
          <w:color w:val="000000"/>
          <w:sz w:val="28"/>
          <w:szCs w:val="28"/>
        </w:rPr>
        <w:t>服务内</w:t>
      </w:r>
      <w:r>
        <w:rPr>
          <w:rFonts w:hint="eastAsia" w:ascii="楷体_GB2312" w:hAnsi="宋体" w:eastAsia="楷体_GB2312" w:cs="楷体_GB2312"/>
          <w:color w:val="auto"/>
          <w:sz w:val="28"/>
          <w:szCs w:val="28"/>
        </w:rPr>
        <w:t>容及详细报价见附件1</w:t>
      </w:r>
      <w:r>
        <w:rPr>
          <w:rFonts w:hint="eastAsia" w:ascii="楷体_GB2312" w:hAnsi="宋体" w:eastAsia="楷体_GB2312" w:cs="楷体_GB2312"/>
          <w:color w:val="auto"/>
          <w:sz w:val="28"/>
          <w:szCs w:val="28"/>
          <w:lang w:eastAsia="zh-CN"/>
        </w:rPr>
        <w:t>。</w:t>
      </w:r>
    </w:p>
    <w:p w14:paraId="2E9A377C">
      <w:pPr>
        <w:spacing w:line="500" w:lineRule="exact"/>
        <w:ind w:firstLine="560" w:firstLineChars="200"/>
        <w:rPr>
          <w:rFonts w:hint="eastAsia" w:ascii="楷体_GB2312" w:hAnsi="宋体" w:eastAsia="楷体_GB2312" w:cs="楷体_GB2312"/>
          <w:color w:val="auto"/>
          <w:sz w:val="28"/>
          <w:szCs w:val="28"/>
          <w:lang w:eastAsia="zh-CN"/>
        </w:rPr>
      </w:pPr>
      <w:r>
        <w:rPr>
          <w:rFonts w:hint="eastAsia" w:ascii="楷体_GB2312" w:hAnsi="宋体" w:eastAsia="楷体_GB2312" w:cs="楷体_GB2312"/>
          <w:color w:val="auto"/>
          <w:sz w:val="28"/>
          <w:szCs w:val="28"/>
        </w:rPr>
        <w:t>合同服务期内，乙方向甲方提供约定的服务，费用均包含在上述金额中，甲方不再另行承担任何费用</w:t>
      </w:r>
      <w:r>
        <w:rPr>
          <w:rFonts w:hint="eastAsia" w:ascii="楷体_GB2312" w:hAnsi="宋体" w:eastAsia="楷体_GB2312" w:cs="楷体_GB2312"/>
          <w:color w:val="auto"/>
          <w:sz w:val="28"/>
          <w:szCs w:val="28"/>
          <w:lang w:eastAsia="zh-CN"/>
        </w:rPr>
        <w:t>。</w:t>
      </w:r>
    </w:p>
    <w:p w14:paraId="5AF7ED4E">
      <w:pPr>
        <w:spacing w:line="500" w:lineRule="exact"/>
        <w:ind w:left="720"/>
        <w:outlineLvl w:val="0"/>
        <w:rPr>
          <w:rFonts w:hint="eastAsia" w:ascii="楷体_GB2312" w:hAnsi="宋体" w:eastAsia="楷体_GB2312" w:cs="楷体_GB2312"/>
          <w:b/>
          <w:bCs/>
          <w:color w:val="auto"/>
          <w:sz w:val="28"/>
          <w:szCs w:val="28"/>
        </w:rPr>
      </w:pPr>
      <w:r>
        <w:rPr>
          <w:rFonts w:hint="eastAsia" w:ascii="楷体_GB2312" w:hAnsi="宋体" w:eastAsia="楷体_GB2312" w:cs="楷体_GB2312"/>
          <w:b/>
          <w:bCs/>
          <w:color w:val="auto"/>
          <w:sz w:val="28"/>
          <w:szCs w:val="28"/>
        </w:rPr>
        <w:t>四、维护服务费支付</w:t>
      </w:r>
      <w:bookmarkStart w:id="0" w:name="_Toc514489411"/>
      <w:bookmarkStart w:id="1" w:name="_Toc515247700"/>
      <w:r>
        <w:rPr>
          <w:rFonts w:hint="eastAsia" w:ascii="楷体_GB2312" w:hAnsi="宋体" w:eastAsia="楷体_GB2312" w:cs="楷体_GB2312"/>
          <w:b/>
          <w:bCs/>
          <w:color w:val="auto"/>
          <w:sz w:val="28"/>
          <w:szCs w:val="28"/>
        </w:rPr>
        <w:t>方式</w:t>
      </w:r>
    </w:p>
    <w:bookmarkEnd w:id="0"/>
    <w:bookmarkEnd w:id="1"/>
    <w:p w14:paraId="68CFDA18">
      <w:pPr>
        <w:spacing w:line="500" w:lineRule="exact"/>
        <w:ind w:firstLine="560" w:firstLineChars="200"/>
        <w:rPr>
          <w:rFonts w:hint="eastAsia" w:ascii="楷体_GB2312" w:hAnsi="宋体" w:eastAsia="楷体_GB2312" w:cs="楷体_GB2312"/>
          <w:color w:val="auto"/>
          <w:sz w:val="28"/>
          <w:szCs w:val="28"/>
          <w:highlight w:val="none"/>
          <w:lang w:val="en-US" w:eastAsia="zh-CN"/>
        </w:rPr>
      </w:pPr>
      <w:bookmarkStart w:id="2" w:name="_Toc514489412"/>
      <w:bookmarkStart w:id="3" w:name="_Toc515247701"/>
      <w:r>
        <w:rPr>
          <w:rFonts w:hint="eastAsia" w:ascii="楷体_GB2312" w:hAnsi="宋体" w:eastAsia="楷体_GB2312" w:cs="楷体_GB2312"/>
          <w:color w:val="auto"/>
          <w:sz w:val="28"/>
          <w:szCs w:val="28"/>
          <w:highlight w:val="none"/>
          <w:lang w:val="en-US" w:eastAsia="zh-CN"/>
        </w:rPr>
        <w:t>1.每次付款前乙方应按规定提供正式等额有效发票，付款时间以甲方财务主管部门审批通过后的付款时间为准。签订合同后，达到付款条件起30日内，支付合同金额的30%。</w:t>
      </w:r>
    </w:p>
    <w:p w14:paraId="0C3CC30D">
      <w:pPr>
        <w:spacing w:line="500" w:lineRule="exact"/>
        <w:ind w:firstLine="560" w:firstLineChars="200"/>
        <w:rPr>
          <w:rFonts w:hint="eastAsia" w:ascii="楷体_GB2312" w:hAnsi="宋体" w:eastAsia="楷体_GB2312" w:cs="楷体_GB2312"/>
          <w:color w:val="auto"/>
          <w:sz w:val="28"/>
          <w:szCs w:val="28"/>
          <w:highlight w:val="none"/>
          <w:lang w:val="en-US" w:eastAsia="zh-CN"/>
        </w:rPr>
      </w:pPr>
      <w:r>
        <w:rPr>
          <w:rFonts w:hint="eastAsia" w:ascii="楷体_GB2312" w:hAnsi="宋体" w:eastAsia="楷体_GB2312" w:cs="楷体_GB2312"/>
          <w:color w:val="auto"/>
          <w:sz w:val="28"/>
          <w:szCs w:val="28"/>
          <w:highlight w:val="none"/>
          <w:lang w:val="en-US" w:eastAsia="zh-CN"/>
        </w:rPr>
        <w:t>2.服务期满半年后，达到付款条件起30日内，支付合同金额的30%；</w:t>
      </w:r>
    </w:p>
    <w:p w14:paraId="3600F762">
      <w:pPr>
        <w:spacing w:line="500" w:lineRule="exact"/>
        <w:ind w:firstLine="560" w:firstLineChars="200"/>
        <w:rPr>
          <w:rFonts w:hint="eastAsia" w:ascii="楷体_GB2312" w:hAnsi="宋体" w:eastAsia="楷体_GB2312" w:cs="楷体_GB2312"/>
          <w:color w:val="auto"/>
          <w:sz w:val="28"/>
          <w:szCs w:val="28"/>
          <w:highlight w:val="none"/>
          <w:lang w:val="en-US" w:eastAsia="zh-CN"/>
        </w:rPr>
      </w:pPr>
      <w:r>
        <w:rPr>
          <w:rFonts w:hint="eastAsia" w:ascii="楷体_GB2312" w:hAnsi="宋体" w:eastAsia="楷体_GB2312" w:cs="楷体_GB2312"/>
          <w:color w:val="auto"/>
          <w:sz w:val="28"/>
          <w:szCs w:val="28"/>
          <w:highlight w:val="none"/>
          <w:lang w:val="en-US" w:eastAsia="zh-CN"/>
        </w:rPr>
        <w:t>3.项目服务期满，经财政部门结算评审完成后（原约定合同金额40%的支付比例仅为阶段性预估付款参考比例，不作为最终实际结算支付金额依据，本项目最终结算金额以财政部门结算评审后的金额据实结算），达到付款条件起30日内，支付合同金额的40%。</w:t>
      </w:r>
    </w:p>
    <w:p w14:paraId="748D0C1C">
      <w:pPr>
        <w:spacing w:line="500" w:lineRule="exact"/>
        <w:ind w:firstLine="562" w:firstLineChars="200"/>
        <w:rPr>
          <w:rFonts w:hint="eastAsia" w:ascii="楷体_GB2312" w:hAnsi="宋体" w:eastAsia="楷体_GB2312" w:cs="楷体_GB2312"/>
          <w:b/>
          <w:bCs/>
          <w:color w:val="auto"/>
          <w:sz w:val="28"/>
          <w:szCs w:val="28"/>
        </w:rPr>
      </w:pPr>
      <w:r>
        <w:rPr>
          <w:rFonts w:hint="eastAsia" w:ascii="楷体_GB2312" w:hAnsi="宋体" w:eastAsia="楷体_GB2312" w:cs="楷体_GB2312"/>
          <w:b/>
          <w:bCs/>
          <w:color w:val="auto"/>
          <w:sz w:val="28"/>
          <w:szCs w:val="28"/>
        </w:rPr>
        <w:t>五、</w:t>
      </w:r>
      <w:bookmarkEnd w:id="2"/>
      <w:bookmarkEnd w:id="3"/>
      <w:r>
        <w:rPr>
          <w:rFonts w:hint="eastAsia" w:ascii="楷体_GB2312" w:hAnsi="宋体" w:eastAsia="楷体_GB2312" w:cs="楷体_GB2312"/>
          <w:b/>
          <w:bCs/>
          <w:color w:val="auto"/>
          <w:sz w:val="28"/>
          <w:szCs w:val="28"/>
        </w:rPr>
        <w:t>双方权利义务</w:t>
      </w:r>
    </w:p>
    <w:p w14:paraId="222A7109">
      <w:pPr>
        <w:spacing w:line="500" w:lineRule="exact"/>
        <w:ind w:firstLine="560" w:firstLineChars="200"/>
        <w:rPr>
          <w:rFonts w:hint="eastAsia" w:ascii="楷体_GB2312" w:hAnsi="宋体" w:eastAsia="楷体_GB2312" w:cs="楷体_GB2312"/>
          <w:color w:val="auto"/>
          <w:sz w:val="28"/>
          <w:szCs w:val="28"/>
        </w:rPr>
      </w:pPr>
      <w:r>
        <w:rPr>
          <w:rFonts w:hint="eastAsia" w:ascii="楷体_GB2312" w:hAnsi="宋体" w:eastAsia="楷体_GB2312" w:cs="楷体_GB2312"/>
          <w:color w:val="auto"/>
          <w:sz w:val="28"/>
          <w:szCs w:val="28"/>
        </w:rPr>
        <w:t>（一）甲方的权利和义务：</w:t>
      </w:r>
    </w:p>
    <w:p w14:paraId="66852912">
      <w:pPr>
        <w:spacing w:line="500" w:lineRule="exact"/>
        <w:ind w:firstLine="560" w:firstLineChars="200"/>
        <w:rPr>
          <w:rFonts w:hint="eastAsia" w:ascii="楷体_GB2312" w:hAnsi="宋体" w:eastAsia="楷体_GB2312" w:cs="楷体_GB2312"/>
          <w:color w:val="auto"/>
          <w:sz w:val="28"/>
          <w:szCs w:val="28"/>
        </w:rPr>
      </w:pPr>
      <w:r>
        <w:rPr>
          <w:rFonts w:hint="eastAsia" w:ascii="楷体_GB2312" w:hAnsi="宋体" w:eastAsia="楷体_GB2312" w:cs="楷体_GB2312"/>
          <w:color w:val="auto"/>
          <w:sz w:val="28"/>
          <w:szCs w:val="28"/>
        </w:rPr>
        <w:t>1、甲方负责监督和协调其下属单位严格执行本协议条款并在项目实施过程中积极主动的紧密配合乙方工作，确保合作内容顺利实施，尽早为甲方提供优质服务。</w:t>
      </w:r>
    </w:p>
    <w:p w14:paraId="6043550E">
      <w:pPr>
        <w:spacing w:line="500" w:lineRule="exact"/>
        <w:ind w:firstLine="560" w:firstLineChars="200"/>
        <w:rPr>
          <w:rFonts w:hint="eastAsia" w:ascii="楷体_GB2312" w:hAnsi="宋体" w:eastAsia="楷体_GB2312" w:cs="楷体_GB2312"/>
          <w:color w:val="auto"/>
          <w:sz w:val="28"/>
          <w:szCs w:val="28"/>
        </w:rPr>
      </w:pPr>
      <w:r>
        <w:rPr>
          <w:rFonts w:hint="eastAsia" w:ascii="楷体_GB2312" w:hAnsi="宋体" w:eastAsia="楷体_GB2312" w:cs="楷体_GB2312"/>
          <w:color w:val="auto"/>
          <w:sz w:val="28"/>
          <w:szCs w:val="28"/>
        </w:rPr>
        <w:t>2、甲方免费向乙方提供专用数据传输光纤线路进入其机房所在楼宇（建筑物）的传输通道。</w:t>
      </w:r>
    </w:p>
    <w:p w14:paraId="1954E4E5">
      <w:pPr>
        <w:spacing w:line="500" w:lineRule="exact"/>
        <w:ind w:firstLine="560" w:firstLineChars="200"/>
        <w:rPr>
          <w:rFonts w:hint="eastAsia" w:ascii="楷体_GB2312" w:hAnsi="宋体" w:eastAsia="楷体_GB2312" w:cs="楷体_GB2312"/>
          <w:color w:val="auto"/>
          <w:sz w:val="28"/>
          <w:szCs w:val="28"/>
        </w:rPr>
      </w:pPr>
      <w:r>
        <w:rPr>
          <w:rFonts w:hint="eastAsia" w:ascii="楷体_GB2312" w:hAnsi="宋体" w:eastAsia="楷体_GB2312" w:cs="楷体_GB2312"/>
          <w:color w:val="auto"/>
          <w:sz w:val="28"/>
          <w:szCs w:val="28"/>
        </w:rPr>
        <w:t>3、甲方负责向乙方免费提供接入设备放置房间及所需电力。甲方如需对相关线路进行变动或改迁时，应提前通知乙方，征得乙方同意后，在乙方工程技术人员配合下方可进行施工。</w:t>
      </w:r>
    </w:p>
    <w:p w14:paraId="73785C9D">
      <w:pPr>
        <w:spacing w:line="500" w:lineRule="exact"/>
        <w:ind w:firstLine="560" w:firstLineChars="200"/>
        <w:rPr>
          <w:rFonts w:hint="eastAsia" w:ascii="楷体_GB2312" w:hAnsi="宋体" w:eastAsia="楷体_GB2312" w:cs="楷体_GB2312"/>
          <w:color w:val="auto"/>
          <w:sz w:val="28"/>
          <w:szCs w:val="28"/>
        </w:rPr>
      </w:pPr>
      <w:r>
        <w:rPr>
          <w:rFonts w:hint="eastAsia" w:ascii="楷体_GB2312" w:hAnsi="宋体" w:eastAsia="楷体_GB2312" w:cs="楷体_GB2312"/>
          <w:color w:val="auto"/>
          <w:sz w:val="28"/>
          <w:szCs w:val="28"/>
        </w:rPr>
        <w:t>4、当有线专用光纤传输线路或无线传输链路发生故障时，甲方应为乙方工作人员出入机房提供方便，积极支持并配合乙方人员对设备进行例行巡检及紧急检修。</w:t>
      </w:r>
    </w:p>
    <w:p w14:paraId="4B64714B">
      <w:pPr>
        <w:spacing w:line="500" w:lineRule="exact"/>
        <w:ind w:firstLine="560" w:firstLineChars="200"/>
        <w:rPr>
          <w:rFonts w:hint="eastAsia" w:ascii="楷体_GB2312" w:hAnsi="宋体" w:eastAsia="楷体_GB2312" w:cs="楷体_GB2312"/>
          <w:color w:val="auto"/>
          <w:sz w:val="28"/>
          <w:szCs w:val="28"/>
        </w:rPr>
      </w:pPr>
      <w:r>
        <w:rPr>
          <w:rFonts w:hint="eastAsia" w:ascii="楷体_GB2312" w:hAnsi="宋体" w:eastAsia="楷体_GB2312" w:cs="楷体_GB2312"/>
          <w:color w:val="auto"/>
          <w:sz w:val="28"/>
          <w:szCs w:val="28"/>
        </w:rPr>
        <w:t>5、甲方委派1～2人负责配合乙方进行设备安装、维护及后续扩容等工作。</w:t>
      </w:r>
    </w:p>
    <w:p w14:paraId="3F53877D">
      <w:pPr>
        <w:spacing w:line="500" w:lineRule="exact"/>
        <w:ind w:firstLine="560" w:firstLineChars="200"/>
        <w:rPr>
          <w:rFonts w:hint="eastAsia" w:ascii="楷体_GB2312" w:hAnsi="宋体" w:eastAsia="楷体_GB2312" w:cs="楷体_GB2312"/>
          <w:color w:val="auto"/>
          <w:sz w:val="28"/>
          <w:szCs w:val="28"/>
        </w:rPr>
      </w:pPr>
      <w:r>
        <w:rPr>
          <w:rFonts w:hint="eastAsia" w:ascii="楷体_GB2312" w:hAnsi="宋体" w:eastAsia="楷体_GB2312" w:cs="楷体_GB2312"/>
          <w:color w:val="auto"/>
          <w:sz w:val="28"/>
          <w:szCs w:val="28"/>
        </w:rPr>
        <w:t>6、甲方负责甲方网络的建设与维护，并提供乙方所投设备安全及正常运行所须的必要条件，并负责与乙方网络接口的相关技术开发。</w:t>
      </w:r>
    </w:p>
    <w:p w14:paraId="0C1AB687">
      <w:pPr>
        <w:spacing w:line="500" w:lineRule="exact"/>
        <w:ind w:firstLine="560" w:firstLineChars="200"/>
        <w:rPr>
          <w:rFonts w:hint="eastAsia" w:ascii="楷体_GB2312" w:hAnsi="宋体" w:eastAsia="楷体_GB2312" w:cs="楷体_GB2312"/>
          <w:color w:val="auto"/>
          <w:sz w:val="28"/>
          <w:szCs w:val="28"/>
        </w:rPr>
      </w:pPr>
      <w:r>
        <w:rPr>
          <w:rFonts w:hint="eastAsia" w:ascii="楷体_GB2312" w:hAnsi="宋体" w:eastAsia="楷体_GB2312" w:cs="楷体_GB2312"/>
          <w:color w:val="auto"/>
          <w:sz w:val="28"/>
          <w:szCs w:val="28"/>
        </w:rPr>
        <w:t>7、甲方租用的专用数据传输光纤线路和无线传输链路，只能用于信息化综合解决方案中的相关业务，不得非法经营电信业务或者国家有关法律法规禁止经营的其他业务，否则由甲方承担全部法律责任。</w:t>
      </w:r>
    </w:p>
    <w:p w14:paraId="337C0C8C">
      <w:pPr>
        <w:spacing w:line="500" w:lineRule="exact"/>
        <w:ind w:firstLine="560" w:firstLineChars="200"/>
        <w:rPr>
          <w:rFonts w:hint="eastAsia" w:ascii="楷体_GB2312" w:hAnsi="宋体" w:eastAsia="楷体_GB2312" w:cs="楷体_GB2312"/>
          <w:color w:val="auto"/>
          <w:sz w:val="28"/>
          <w:szCs w:val="28"/>
        </w:rPr>
      </w:pPr>
      <w:r>
        <w:rPr>
          <w:rFonts w:hint="eastAsia" w:ascii="楷体_GB2312" w:hAnsi="宋体" w:eastAsia="楷体_GB2312" w:cs="楷体_GB2312"/>
          <w:color w:val="auto"/>
          <w:sz w:val="28"/>
          <w:szCs w:val="28"/>
        </w:rPr>
        <w:t>（二）乙方的权利和义务：</w:t>
      </w:r>
    </w:p>
    <w:p w14:paraId="1BBBA0D9">
      <w:pPr>
        <w:spacing w:line="500" w:lineRule="exact"/>
        <w:ind w:firstLine="560" w:firstLineChars="200"/>
        <w:rPr>
          <w:rFonts w:hint="eastAsia" w:ascii="楷体_GB2312" w:hAnsi="宋体" w:eastAsia="楷体_GB2312" w:cs="楷体_GB2312"/>
          <w:color w:val="auto"/>
          <w:sz w:val="28"/>
          <w:szCs w:val="28"/>
        </w:rPr>
      </w:pPr>
      <w:r>
        <w:rPr>
          <w:rFonts w:hint="eastAsia" w:ascii="楷体_GB2312" w:hAnsi="宋体" w:eastAsia="楷体_GB2312" w:cs="楷体_GB2312"/>
          <w:color w:val="auto"/>
          <w:sz w:val="28"/>
          <w:szCs w:val="28"/>
        </w:rPr>
        <w:t>1、乙方负责提供履行本协议涉及的服务所需的基础网络支持，并确保本协议内各项服务的正常进行。</w:t>
      </w:r>
    </w:p>
    <w:p w14:paraId="5F69C477">
      <w:pPr>
        <w:spacing w:line="500" w:lineRule="exact"/>
        <w:ind w:firstLine="560" w:firstLineChars="200"/>
        <w:rPr>
          <w:rFonts w:hint="eastAsia" w:ascii="楷体_GB2312" w:hAnsi="宋体" w:eastAsia="楷体_GB2312" w:cs="楷体_GB2312"/>
          <w:color w:val="auto"/>
          <w:sz w:val="28"/>
          <w:szCs w:val="28"/>
        </w:rPr>
      </w:pPr>
      <w:r>
        <w:rPr>
          <w:rFonts w:hint="eastAsia" w:ascii="楷体_GB2312" w:hAnsi="宋体" w:eastAsia="楷体_GB2312" w:cs="楷体_GB2312"/>
          <w:color w:val="auto"/>
          <w:sz w:val="28"/>
          <w:szCs w:val="28"/>
        </w:rPr>
        <w:t>2、乙方负责提供通信网络以及相应的网络接口和通信技术支持，确保通信传输的通畅，确保传输数据的准确性。</w:t>
      </w:r>
    </w:p>
    <w:p w14:paraId="6528F081">
      <w:pPr>
        <w:spacing w:line="500" w:lineRule="exact"/>
        <w:ind w:firstLine="560" w:firstLineChars="200"/>
        <w:rPr>
          <w:rFonts w:hint="eastAsia" w:ascii="楷体_GB2312" w:hAnsi="宋体" w:eastAsia="楷体_GB2312" w:cs="楷体_GB2312"/>
          <w:color w:val="auto"/>
          <w:sz w:val="28"/>
          <w:szCs w:val="28"/>
        </w:rPr>
      </w:pPr>
      <w:r>
        <w:rPr>
          <w:rFonts w:hint="eastAsia" w:ascii="楷体_GB2312" w:hAnsi="宋体" w:eastAsia="楷体_GB2312" w:cs="楷体_GB2312"/>
          <w:color w:val="auto"/>
          <w:sz w:val="28"/>
          <w:szCs w:val="28"/>
        </w:rPr>
        <w:t>3、对于列入本协议中的各项移动通信业务服务，乙方有义务向甲方提供优质的网络服务和客户服务。</w:t>
      </w:r>
    </w:p>
    <w:p w14:paraId="2646324B">
      <w:pPr>
        <w:spacing w:line="500" w:lineRule="exact"/>
        <w:ind w:firstLine="560" w:firstLineChars="200"/>
        <w:rPr>
          <w:rFonts w:hint="eastAsia" w:ascii="楷体_GB2312" w:hAnsi="宋体" w:eastAsia="楷体_GB2312" w:cs="楷体_GB2312"/>
          <w:color w:val="auto"/>
          <w:sz w:val="28"/>
          <w:szCs w:val="28"/>
        </w:rPr>
      </w:pPr>
      <w:r>
        <w:rPr>
          <w:rFonts w:hint="eastAsia" w:ascii="楷体_GB2312" w:hAnsi="宋体" w:eastAsia="楷体_GB2312" w:cs="楷体_GB2312"/>
          <w:color w:val="auto"/>
          <w:sz w:val="28"/>
          <w:szCs w:val="28"/>
        </w:rPr>
        <w:t>4、乙方为甲方免费设计和安装综合解决方案专用传输光纤线路，遵守国家信息网络安全和保密规定。</w:t>
      </w:r>
    </w:p>
    <w:p w14:paraId="78428A37">
      <w:pPr>
        <w:spacing w:line="500" w:lineRule="exact"/>
        <w:ind w:firstLine="560" w:firstLineChars="200"/>
        <w:rPr>
          <w:rFonts w:hint="eastAsia" w:ascii="楷体_GB2312" w:hAnsi="宋体" w:eastAsia="楷体_GB2312" w:cs="楷体_GB2312"/>
          <w:color w:val="auto"/>
          <w:sz w:val="28"/>
          <w:szCs w:val="28"/>
        </w:rPr>
      </w:pPr>
      <w:r>
        <w:rPr>
          <w:rFonts w:hint="eastAsia" w:ascii="楷体_GB2312" w:hAnsi="宋体" w:eastAsia="楷体_GB2312" w:cs="楷体_GB2312"/>
          <w:color w:val="auto"/>
          <w:sz w:val="28"/>
          <w:szCs w:val="28"/>
        </w:rPr>
        <w:t>5、乙方保证专用数据传输光纤线路接入的运行稳定、可靠、安全。</w:t>
      </w:r>
    </w:p>
    <w:p w14:paraId="391968DC">
      <w:pPr>
        <w:spacing w:line="500" w:lineRule="exact"/>
        <w:ind w:firstLine="560" w:firstLineChars="200"/>
        <w:rPr>
          <w:rFonts w:hint="eastAsia" w:ascii="楷体_GB2312" w:hAnsi="宋体" w:eastAsia="楷体_GB2312" w:cs="楷体_GB2312"/>
          <w:color w:val="auto"/>
          <w:sz w:val="28"/>
          <w:szCs w:val="28"/>
        </w:rPr>
      </w:pPr>
      <w:r>
        <w:rPr>
          <w:rFonts w:hint="eastAsia" w:ascii="楷体_GB2312" w:hAnsi="宋体" w:eastAsia="楷体_GB2312" w:cs="楷体_GB2312"/>
          <w:color w:val="auto"/>
          <w:sz w:val="28"/>
          <w:szCs w:val="28"/>
        </w:rPr>
        <w:t>6、乙方保证所提供的专用数据传输光纤线路等技术指标符合国家相关规定。</w:t>
      </w:r>
    </w:p>
    <w:p w14:paraId="5AABDF70">
      <w:pPr>
        <w:spacing w:line="500" w:lineRule="exact"/>
        <w:ind w:firstLine="560" w:firstLineChars="200"/>
        <w:rPr>
          <w:rFonts w:hint="eastAsia" w:ascii="楷体_GB2312" w:hAnsi="宋体" w:eastAsia="楷体_GB2312" w:cs="楷体_GB2312"/>
          <w:color w:val="auto"/>
          <w:sz w:val="28"/>
          <w:szCs w:val="28"/>
        </w:rPr>
      </w:pPr>
      <w:r>
        <w:rPr>
          <w:rFonts w:hint="eastAsia" w:ascii="楷体_GB2312" w:hAnsi="宋体" w:eastAsia="楷体_GB2312" w:cs="楷体_GB2312"/>
          <w:color w:val="auto"/>
          <w:sz w:val="28"/>
          <w:szCs w:val="28"/>
        </w:rPr>
        <w:t>7、乙方为甲方提供运行维护保证，接到甲方专用数据传输光纤线路故障申诉时，保证按照国家有关电路传输维护规程中通信电路修复时限要求恢复甲方的通信。</w:t>
      </w:r>
    </w:p>
    <w:p w14:paraId="361229CA">
      <w:pPr>
        <w:spacing w:line="500" w:lineRule="exact"/>
        <w:ind w:firstLine="560" w:firstLineChars="200"/>
        <w:rPr>
          <w:rFonts w:hint="eastAsia" w:ascii="楷体_GB2312" w:hAnsi="宋体" w:eastAsia="楷体_GB2312" w:cs="楷体_GB2312"/>
          <w:color w:val="auto"/>
          <w:sz w:val="28"/>
          <w:szCs w:val="28"/>
        </w:rPr>
      </w:pPr>
      <w:r>
        <w:rPr>
          <w:rFonts w:hint="eastAsia" w:ascii="楷体_GB2312" w:hAnsi="宋体" w:eastAsia="楷体_GB2312" w:cs="楷体_GB2312"/>
          <w:color w:val="auto"/>
          <w:sz w:val="28"/>
          <w:szCs w:val="28"/>
        </w:rPr>
        <w:t>8、乙方对其设备进行维护时，如需中断通信，乙方必须提前通知甲方，并征得甲方同意。</w:t>
      </w:r>
    </w:p>
    <w:p w14:paraId="27B7A809">
      <w:pPr>
        <w:spacing w:line="500" w:lineRule="exact"/>
        <w:ind w:left="720"/>
        <w:outlineLvl w:val="0"/>
        <w:rPr>
          <w:rFonts w:hint="eastAsia" w:ascii="楷体_GB2312" w:hAnsi="宋体" w:eastAsia="楷体_GB2312" w:cs="楷体_GB2312"/>
          <w:b/>
          <w:bCs/>
          <w:color w:val="auto"/>
          <w:sz w:val="28"/>
          <w:szCs w:val="28"/>
        </w:rPr>
      </w:pPr>
      <w:r>
        <w:rPr>
          <w:rFonts w:hint="eastAsia" w:ascii="楷体_GB2312" w:hAnsi="宋体" w:eastAsia="楷体_GB2312" w:cs="楷体_GB2312"/>
          <w:b/>
          <w:bCs/>
          <w:color w:val="auto"/>
          <w:sz w:val="28"/>
          <w:szCs w:val="28"/>
        </w:rPr>
        <w:t>六、知识产权</w:t>
      </w:r>
    </w:p>
    <w:p w14:paraId="75412CC2">
      <w:pPr>
        <w:spacing w:line="500" w:lineRule="exact"/>
        <w:ind w:firstLine="560" w:firstLineChars="200"/>
        <w:rPr>
          <w:rFonts w:hint="eastAsia" w:ascii="楷体_GB2312" w:hAnsi="宋体" w:eastAsia="楷体_GB2312" w:cs="楷体_GB2312"/>
          <w:color w:val="auto"/>
          <w:sz w:val="28"/>
          <w:szCs w:val="28"/>
        </w:rPr>
      </w:pPr>
      <w:r>
        <w:rPr>
          <w:rFonts w:hint="eastAsia" w:ascii="楷体_GB2312" w:hAnsi="宋体" w:eastAsia="楷体_GB2312" w:cs="楷体_GB2312"/>
          <w:color w:val="auto"/>
          <w:sz w:val="28"/>
          <w:szCs w:val="28"/>
        </w:rPr>
        <w:t>乙方保证在服务过程中，不存在侵犯第三方专利权、商标权、著作权等知识产权的行为，在涉及到第三方知识产权使用时，乙方通过转让获得了所有权或者获得了所有权人或其他权利人的合法授权。</w:t>
      </w:r>
      <w:r>
        <w:rPr>
          <w:rFonts w:hint="eastAsia" w:ascii="楷体_GB2312" w:hAnsi="宋体" w:eastAsia="楷体_GB2312" w:cs="楷体_GB2312"/>
          <w:color w:val="auto"/>
          <w:sz w:val="28"/>
          <w:szCs w:val="28"/>
          <w:lang w:val="en-US" w:eastAsia="zh-Hans"/>
        </w:rPr>
        <w:t>若乙方在服务过程中因侵犯第三人知识产权给甲方造成损失的</w:t>
      </w:r>
      <w:r>
        <w:rPr>
          <w:rFonts w:hint="default" w:ascii="楷体_GB2312" w:hAnsi="宋体" w:eastAsia="楷体_GB2312" w:cs="楷体_GB2312"/>
          <w:color w:val="auto"/>
          <w:sz w:val="28"/>
          <w:szCs w:val="28"/>
          <w:lang w:eastAsia="zh-Hans"/>
        </w:rPr>
        <w:t>，</w:t>
      </w:r>
      <w:r>
        <w:rPr>
          <w:rFonts w:hint="eastAsia" w:ascii="楷体_GB2312" w:hAnsi="宋体" w:eastAsia="楷体_GB2312" w:cs="楷体_GB2312"/>
          <w:color w:val="auto"/>
          <w:sz w:val="28"/>
          <w:szCs w:val="28"/>
          <w:lang w:val="en-US" w:eastAsia="zh-Hans"/>
        </w:rPr>
        <w:t>乙方承担全部责任</w:t>
      </w:r>
      <w:r>
        <w:rPr>
          <w:rFonts w:hint="default" w:ascii="楷体_GB2312" w:hAnsi="宋体" w:eastAsia="楷体_GB2312" w:cs="楷体_GB2312"/>
          <w:color w:val="auto"/>
          <w:sz w:val="28"/>
          <w:szCs w:val="28"/>
          <w:lang w:eastAsia="zh-Hans"/>
        </w:rPr>
        <w:t>。</w:t>
      </w:r>
    </w:p>
    <w:p w14:paraId="0E8F736C">
      <w:pPr>
        <w:spacing w:line="500" w:lineRule="exact"/>
        <w:ind w:left="720"/>
        <w:outlineLvl w:val="0"/>
        <w:rPr>
          <w:rFonts w:hint="eastAsia" w:ascii="楷体_GB2312" w:hAnsi="宋体" w:eastAsia="楷体_GB2312" w:cs="楷体_GB2312"/>
          <w:b/>
          <w:bCs/>
          <w:color w:val="auto"/>
          <w:sz w:val="28"/>
          <w:szCs w:val="28"/>
        </w:rPr>
      </w:pPr>
      <w:r>
        <w:rPr>
          <w:rFonts w:hint="eastAsia" w:ascii="楷体_GB2312" w:hAnsi="宋体" w:eastAsia="楷体_GB2312" w:cs="楷体_GB2312"/>
          <w:b/>
          <w:bCs/>
          <w:color w:val="auto"/>
          <w:sz w:val="28"/>
          <w:szCs w:val="28"/>
        </w:rPr>
        <w:t>七、保密条款</w:t>
      </w:r>
    </w:p>
    <w:p w14:paraId="60EC628C">
      <w:pPr>
        <w:spacing w:line="500" w:lineRule="exact"/>
        <w:ind w:firstLine="560" w:firstLineChars="200"/>
        <w:rPr>
          <w:rFonts w:hint="eastAsia" w:ascii="楷体_GB2312" w:hAnsi="宋体" w:eastAsia="楷体_GB2312" w:cs="楷体_GB2312"/>
          <w:color w:val="auto"/>
          <w:sz w:val="28"/>
          <w:szCs w:val="28"/>
        </w:rPr>
      </w:pPr>
      <w:r>
        <w:rPr>
          <w:rFonts w:hint="eastAsia" w:ascii="楷体_GB2312" w:hAnsi="宋体" w:eastAsia="楷体_GB2312" w:cs="楷体_GB2312"/>
          <w:color w:val="auto"/>
          <w:sz w:val="28"/>
          <w:szCs w:val="28"/>
        </w:rPr>
        <w:t>1、任何一方不得将本协议内容向第三方泄露。</w:t>
      </w:r>
    </w:p>
    <w:p w14:paraId="31AFCC6B">
      <w:pPr>
        <w:spacing w:line="500" w:lineRule="exact"/>
        <w:ind w:firstLine="560" w:firstLineChars="200"/>
        <w:rPr>
          <w:rFonts w:hint="eastAsia" w:ascii="楷体_GB2312" w:hAnsi="宋体" w:eastAsia="楷体_GB2312" w:cs="楷体_GB2312"/>
          <w:color w:val="auto"/>
          <w:sz w:val="28"/>
          <w:szCs w:val="28"/>
        </w:rPr>
      </w:pPr>
      <w:r>
        <w:rPr>
          <w:rFonts w:hint="eastAsia" w:ascii="楷体_GB2312" w:hAnsi="宋体" w:eastAsia="楷体_GB2312" w:cs="楷体_GB2312"/>
          <w:color w:val="auto"/>
          <w:sz w:val="28"/>
          <w:szCs w:val="28"/>
        </w:rPr>
        <w:t>2、未经对方书面许可，任何一方不得将其持有的有关另一方的事务或其事务运行操作方法等保密信息向协议以外的第二方或公众透露，且不得对保密信息进行拷贝和抄写。</w:t>
      </w:r>
    </w:p>
    <w:p w14:paraId="5A06346D">
      <w:pPr>
        <w:spacing w:line="500" w:lineRule="exact"/>
        <w:ind w:firstLine="560" w:firstLineChars="200"/>
        <w:rPr>
          <w:rFonts w:hint="eastAsia" w:ascii="楷体_GB2312" w:hAnsi="宋体" w:eastAsia="楷体_GB2312" w:cs="楷体_GB2312"/>
          <w:color w:val="auto"/>
          <w:sz w:val="28"/>
          <w:szCs w:val="28"/>
        </w:rPr>
      </w:pPr>
      <w:r>
        <w:rPr>
          <w:rFonts w:hint="eastAsia" w:ascii="楷体_GB2312" w:hAnsi="宋体" w:eastAsia="楷体_GB2312" w:cs="楷体_GB2312"/>
          <w:color w:val="auto"/>
          <w:sz w:val="28"/>
          <w:szCs w:val="28"/>
        </w:rPr>
        <w:t>3、因执行本协议的需要，各方有权向本方人员或本方当地公司及控股公司人员透露或使其接触从另一方获知的工作流程类保密信息，但应当尽量控制知情人员的范围，不得在本单位内部任意扩散对方的保密信息。</w:t>
      </w:r>
    </w:p>
    <w:p w14:paraId="7CBA3CAD">
      <w:pPr>
        <w:spacing w:line="500" w:lineRule="exact"/>
        <w:ind w:left="720"/>
        <w:outlineLvl w:val="0"/>
        <w:rPr>
          <w:rFonts w:hint="eastAsia" w:ascii="楷体_GB2312" w:hAnsi="宋体" w:eastAsia="楷体_GB2312" w:cs="楷体_GB2312"/>
          <w:b/>
          <w:bCs/>
          <w:color w:val="auto"/>
          <w:sz w:val="28"/>
          <w:szCs w:val="28"/>
        </w:rPr>
      </w:pPr>
      <w:r>
        <w:rPr>
          <w:rFonts w:hint="eastAsia" w:ascii="楷体_GB2312" w:hAnsi="宋体" w:eastAsia="楷体_GB2312" w:cs="楷体_GB2312"/>
          <w:b/>
          <w:bCs/>
          <w:color w:val="auto"/>
          <w:sz w:val="28"/>
          <w:szCs w:val="28"/>
        </w:rPr>
        <w:t>八、违约责任</w:t>
      </w:r>
    </w:p>
    <w:p w14:paraId="346CEDD3">
      <w:pPr>
        <w:spacing w:line="500" w:lineRule="exact"/>
        <w:ind w:firstLine="560" w:firstLineChars="200"/>
        <w:rPr>
          <w:rFonts w:hint="eastAsia" w:ascii="楷体_GB2312" w:hAnsi="宋体" w:eastAsia="楷体_GB2312" w:cs="楷体_GB2312"/>
          <w:color w:val="auto"/>
          <w:sz w:val="28"/>
          <w:szCs w:val="28"/>
        </w:rPr>
      </w:pPr>
      <w:r>
        <w:rPr>
          <w:rFonts w:hint="eastAsia" w:ascii="楷体_GB2312" w:hAnsi="宋体" w:eastAsia="楷体_GB2312" w:cs="楷体_GB2312"/>
          <w:color w:val="auto"/>
          <w:sz w:val="28"/>
          <w:szCs w:val="28"/>
        </w:rPr>
        <w:t>1.经核实为非甲方责任范围内的重大通信故障，并影响甲方用户通信时，乙方应酌情减免甲方当月的专用数据光纤线路使用费用。</w:t>
      </w:r>
    </w:p>
    <w:p w14:paraId="11A766F8">
      <w:pPr>
        <w:spacing w:line="500" w:lineRule="exact"/>
        <w:ind w:firstLine="560" w:firstLineChars="200"/>
        <w:rPr>
          <w:rFonts w:hint="eastAsia" w:ascii="楷体_GB2312" w:hAnsi="宋体" w:eastAsia="楷体_GB2312" w:cs="楷体_GB2312"/>
          <w:color w:val="auto"/>
          <w:sz w:val="28"/>
          <w:szCs w:val="28"/>
        </w:rPr>
      </w:pPr>
      <w:r>
        <w:rPr>
          <w:rFonts w:hint="eastAsia" w:ascii="楷体_GB2312" w:hAnsi="宋体" w:eastAsia="楷体_GB2312" w:cs="楷体_GB2312"/>
          <w:color w:val="auto"/>
          <w:sz w:val="28"/>
          <w:szCs w:val="28"/>
        </w:rPr>
        <w:t xml:space="preserve">2.任何一方违反本协议约定内容均视为违约。一方违约，其他方有权依据本协议之条款要求违约方限期纠正，否则守约方有权终止本协议，并可依法追究违约方法律责任和由此遭受损失（包括为维权而产生的相关律师费、仲裁费、诉讼费、鉴定费、评估费等）的赔偿责任。 </w:t>
      </w:r>
    </w:p>
    <w:p w14:paraId="6360CB4C">
      <w:pPr>
        <w:spacing w:line="500" w:lineRule="exact"/>
        <w:ind w:left="720"/>
        <w:outlineLvl w:val="0"/>
        <w:rPr>
          <w:rFonts w:hint="eastAsia" w:ascii="楷体_GB2312" w:hAnsi="宋体" w:eastAsia="楷体_GB2312" w:cs="楷体_GB2312"/>
          <w:b/>
          <w:bCs/>
          <w:color w:val="auto"/>
          <w:sz w:val="28"/>
          <w:szCs w:val="28"/>
        </w:rPr>
      </w:pPr>
      <w:r>
        <w:rPr>
          <w:rFonts w:hint="eastAsia" w:ascii="楷体_GB2312" w:hAnsi="宋体" w:eastAsia="楷体_GB2312" w:cs="楷体_GB2312"/>
          <w:b/>
          <w:bCs/>
          <w:color w:val="auto"/>
          <w:sz w:val="28"/>
          <w:szCs w:val="28"/>
        </w:rPr>
        <w:t>九、免责条款</w:t>
      </w:r>
    </w:p>
    <w:p w14:paraId="1544298B">
      <w:pPr>
        <w:spacing w:line="500" w:lineRule="exact"/>
        <w:ind w:firstLine="560" w:firstLineChars="200"/>
        <w:rPr>
          <w:rFonts w:hint="eastAsia" w:ascii="楷体_GB2312" w:hAnsi="宋体" w:eastAsia="楷体_GB2312" w:cs="楷体_GB2312"/>
          <w:color w:val="auto"/>
          <w:sz w:val="28"/>
          <w:szCs w:val="28"/>
        </w:rPr>
      </w:pPr>
      <w:r>
        <w:rPr>
          <w:rFonts w:hint="eastAsia" w:ascii="楷体_GB2312" w:hAnsi="宋体" w:eastAsia="楷体_GB2312" w:cs="楷体_GB2312"/>
          <w:color w:val="auto"/>
          <w:sz w:val="28"/>
          <w:szCs w:val="28"/>
        </w:rPr>
        <w:t>1.乙方在进行定期设备维护和系统升级改造时，须暂时中断通信服务时，如已提前通知甲方并征得同意后，不属于乙方违约。</w:t>
      </w:r>
    </w:p>
    <w:p w14:paraId="37A401E6">
      <w:pPr>
        <w:spacing w:line="500" w:lineRule="exact"/>
        <w:ind w:firstLine="560" w:firstLineChars="200"/>
        <w:rPr>
          <w:rFonts w:hint="eastAsia" w:ascii="楷体_GB2312" w:hAnsi="宋体" w:eastAsia="楷体_GB2312" w:cs="楷体_GB2312"/>
          <w:color w:val="auto"/>
          <w:sz w:val="28"/>
          <w:szCs w:val="28"/>
        </w:rPr>
      </w:pPr>
      <w:r>
        <w:rPr>
          <w:rFonts w:hint="eastAsia" w:ascii="楷体_GB2312" w:hAnsi="宋体" w:eastAsia="楷体_GB2312" w:cs="楷体_GB2312"/>
          <w:color w:val="auto"/>
          <w:sz w:val="28"/>
          <w:szCs w:val="28"/>
        </w:rPr>
        <w:t>2.遇到不可抗力事件造成的工期延误或通信中断，各方根据实际情况部分或全部免于承担责任，但遭遇不可抗力事件的一方应提供有效证明。</w:t>
      </w:r>
    </w:p>
    <w:p w14:paraId="328594A0">
      <w:pPr>
        <w:spacing w:line="500" w:lineRule="exact"/>
        <w:ind w:firstLine="560" w:firstLineChars="200"/>
        <w:rPr>
          <w:rFonts w:hint="eastAsia" w:ascii="楷体_GB2312" w:hAnsi="宋体" w:eastAsia="楷体_GB2312" w:cs="楷体_GB2312"/>
          <w:color w:val="auto"/>
          <w:sz w:val="28"/>
          <w:szCs w:val="28"/>
        </w:rPr>
      </w:pPr>
      <w:r>
        <w:rPr>
          <w:rFonts w:hint="eastAsia" w:ascii="楷体_GB2312" w:hAnsi="宋体" w:eastAsia="楷体_GB2312" w:cs="楷体_GB2312"/>
          <w:color w:val="auto"/>
          <w:sz w:val="28"/>
          <w:szCs w:val="28"/>
        </w:rPr>
        <w:t>3.由于甲方设备端造成的任何数据丢失和机密外泄，乙方不承担任何责任。</w:t>
      </w:r>
    </w:p>
    <w:p w14:paraId="5779874D">
      <w:pPr>
        <w:spacing w:line="500" w:lineRule="exact"/>
        <w:ind w:left="720"/>
        <w:outlineLvl w:val="0"/>
        <w:rPr>
          <w:rFonts w:hint="eastAsia" w:ascii="楷体_GB2312" w:hAnsi="宋体" w:eastAsia="楷体_GB2312" w:cs="楷体_GB2312"/>
          <w:b/>
          <w:bCs/>
          <w:color w:val="auto"/>
          <w:sz w:val="28"/>
          <w:szCs w:val="28"/>
        </w:rPr>
      </w:pPr>
      <w:r>
        <w:rPr>
          <w:rFonts w:hint="eastAsia" w:ascii="楷体_GB2312" w:hAnsi="宋体" w:eastAsia="楷体_GB2312" w:cs="楷体_GB2312"/>
          <w:b/>
          <w:bCs/>
          <w:color w:val="auto"/>
          <w:sz w:val="28"/>
          <w:szCs w:val="28"/>
        </w:rPr>
        <w:t>十、不可抗力</w:t>
      </w:r>
    </w:p>
    <w:p w14:paraId="4AED1184">
      <w:pPr>
        <w:spacing w:line="500" w:lineRule="exact"/>
        <w:ind w:firstLine="560" w:firstLineChars="200"/>
        <w:rPr>
          <w:rFonts w:hint="eastAsia" w:ascii="楷体_GB2312" w:hAnsi="宋体" w:eastAsia="楷体_GB2312" w:cs="楷体_GB2312"/>
          <w:color w:val="auto"/>
          <w:sz w:val="28"/>
          <w:szCs w:val="28"/>
        </w:rPr>
      </w:pPr>
      <w:r>
        <w:rPr>
          <w:rFonts w:hint="eastAsia" w:ascii="楷体_GB2312" w:hAnsi="宋体" w:eastAsia="楷体_GB2312" w:cs="楷体_GB2312"/>
          <w:color w:val="auto"/>
          <w:sz w:val="28"/>
          <w:szCs w:val="28"/>
        </w:rPr>
        <w:t>1、本合同中指的不可抗力主要指甲方所管辖行政区域内的地震、台风、路面塌陷、道路开挖、路面扩建、市政规划大面积拆迁、光纤或中继线路人为剪断、监控点因周围设施拆迁造成的无法取电等不可预见、不可避免且无法控制的情况。</w:t>
      </w:r>
    </w:p>
    <w:p w14:paraId="0A280037">
      <w:pPr>
        <w:spacing w:line="500" w:lineRule="exact"/>
        <w:ind w:firstLine="560" w:firstLineChars="200"/>
        <w:rPr>
          <w:rFonts w:hint="eastAsia" w:ascii="楷体_GB2312" w:hAnsi="宋体" w:eastAsia="楷体_GB2312" w:cs="楷体_GB2312"/>
          <w:color w:val="auto"/>
          <w:sz w:val="28"/>
          <w:szCs w:val="28"/>
        </w:rPr>
      </w:pPr>
      <w:r>
        <w:rPr>
          <w:rFonts w:hint="eastAsia" w:ascii="楷体_GB2312" w:hAnsi="宋体" w:eastAsia="楷体_GB2312" w:cs="楷体_GB2312"/>
          <w:color w:val="auto"/>
          <w:sz w:val="28"/>
          <w:szCs w:val="28"/>
        </w:rPr>
        <w:t>2、任何一方面临不可抗力事件，致使合同履行迟延或不能履行，受不可抗力影响的一方应将该情况及时通知对方。</w:t>
      </w:r>
    </w:p>
    <w:p w14:paraId="39FF904C">
      <w:pPr>
        <w:spacing w:line="500" w:lineRule="exact"/>
        <w:ind w:left="720"/>
        <w:outlineLvl w:val="0"/>
        <w:rPr>
          <w:rFonts w:hint="eastAsia" w:ascii="楷体_GB2312" w:hAnsi="宋体" w:eastAsia="楷体_GB2312" w:cs="楷体_GB2312"/>
          <w:b/>
          <w:bCs/>
          <w:color w:val="auto"/>
          <w:sz w:val="28"/>
          <w:szCs w:val="28"/>
        </w:rPr>
      </w:pPr>
      <w:r>
        <w:rPr>
          <w:rFonts w:hint="eastAsia" w:ascii="楷体_GB2312" w:hAnsi="宋体" w:eastAsia="楷体_GB2312" w:cs="楷体_GB2312"/>
          <w:b/>
          <w:bCs/>
          <w:color w:val="auto"/>
          <w:sz w:val="28"/>
          <w:szCs w:val="28"/>
        </w:rPr>
        <w:t>十一、争议解决</w:t>
      </w:r>
    </w:p>
    <w:p w14:paraId="7186B395">
      <w:pPr>
        <w:spacing w:line="500" w:lineRule="exact"/>
        <w:ind w:firstLine="560" w:firstLineChars="200"/>
        <w:rPr>
          <w:rFonts w:hint="eastAsia" w:ascii="楷体_GB2312" w:hAnsi="宋体" w:eastAsia="楷体_GB2312" w:cs="楷体_GB2312"/>
          <w:color w:val="auto"/>
          <w:sz w:val="28"/>
          <w:szCs w:val="28"/>
        </w:rPr>
      </w:pPr>
      <w:r>
        <w:rPr>
          <w:rFonts w:hint="eastAsia" w:ascii="楷体_GB2312" w:hAnsi="宋体" w:eastAsia="楷体_GB2312" w:cs="楷体_GB2312"/>
          <w:color w:val="auto"/>
          <w:sz w:val="28"/>
          <w:szCs w:val="28"/>
        </w:rPr>
        <w:t>由于执行本协议所发生的或与本协议有关的一切争议，各方应本着友好的原则协商解决。协商未果时可提请甲方所在地人民法院依法裁决.</w:t>
      </w:r>
    </w:p>
    <w:p w14:paraId="4A3E265B">
      <w:pPr>
        <w:spacing w:line="500" w:lineRule="exact"/>
        <w:ind w:left="720"/>
        <w:outlineLvl w:val="0"/>
        <w:rPr>
          <w:rFonts w:hint="eastAsia" w:ascii="楷体_GB2312" w:hAnsi="宋体" w:eastAsia="楷体_GB2312" w:cs="楷体_GB2312"/>
          <w:b/>
          <w:bCs/>
          <w:color w:val="auto"/>
          <w:sz w:val="28"/>
          <w:szCs w:val="28"/>
        </w:rPr>
      </w:pPr>
      <w:r>
        <w:rPr>
          <w:rFonts w:hint="eastAsia" w:ascii="楷体_GB2312" w:hAnsi="宋体" w:eastAsia="楷体_GB2312" w:cs="楷体_GB2312"/>
          <w:b/>
          <w:bCs/>
          <w:color w:val="auto"/>
          <w:sz w:val="28"/>
          <w:szCs w:val="28"/>
        </w:rPr>
        <w:t>十二、其它说明</w:t>
      </w:r>
    </w:p>
    <w:p w14:paraId="1B2627AB">
      <w:pPr>
        <w:spacing w:line="500" w:lineRule="exact"/>
        <w:ind w:firstLine="560" w:firstLineChars="200"/>
        <w:rPr>
          <w:rFonts w:hint="eastAsia" w:ascii="楷体_GB2312" w:hAnsi="宋体" w:eastAsia="楷体_GB2312" w:cs="楷体_GB2312"/>
          <w:color w:val="auto"/>
          <w:sz w:val="28"/>
          <w:szCs w:val="28"/>
          <w:lang w:eastAsia="zh-CN"/>
        </w:rPr>
      </w:pPr>
      <w:r>
        <w:rPr>
          <w:rFonts w:hint="eastAsia" w:ascii="楷体_GB2312" w:hAnsi="宋体" w:eastAsia="楷体_GB2312" w:cs="楷体_GB2312"/>
          <w:color w:val="auto"/>
          <w:sz w:val="28"/>
          <w:szCs w:val="28"/>
        </w:rPr>
        <w:t>1.本合同服务期为</w:t>
      </w:r>
      <w:r>
        <w:rPr>
          <w:rFonts w:hint="eastAsia" w:ascii="楷体_GB2312" w:hAnsi="宋体" w:eastAsia="楷体_GB2312" w:cs="楷体_GB2312"/>
          <w:color w:val="auto"/>
          <w:sz w:val="28"/>
          <w:szCs w:val="28"/>
          <w:u w:val="single"/>
          <w:lang w:val="en-US" w:eastAsia="zh-CN"/>
        </w:rPr>
        <w:t xml:space="preserve">    </w:t>
      </w:r>
      <w:r>
        <w:rPr>
          <w:rFonts w:hint="eastAsia" w:ascii="楷体_GB2312" w:hAnsi="宋体" w:eastAsia="楷体_GB2312" w:cs="楷体_GB2312"/>
          <w:color w:val="auto"/>
          <w:sz w:val="28"/>
          <w:szCs w:val="28"/>
          <w:u w:val="none"/>
        </w:rPr>
        <w:t>年</w:t>
      </w:r>
      <w:r>
        <w:rPr>
          <w:rFonts w:hint="eastAsia" w:ascii="楷体_GB2312" w:hAnsi="宋体" w:eastAsia="楷体_GB2312" w:cs="楷体_GB2312"/>
          <w:color w:val="auto"/>
          <w:sz w:val="28"/>
          <w:szCs w:val="28"/>
          <w:u w:val="single"/>
          <w:lang w:val="en-US" w:eastAsia="zh-CN"/>
        </w:rPr>
        <w:t xml:space="preserve">    </w:t>
      </w:r>
      <w:r>
        <w:rPr>
          <w:rFonts w:hint="eastAsia" w:ascii="楷体_GB2312" w:hAnsi="宋体" w:eastAsia="楷体_GB2312" w:cs="楷体_GB2312"/>
          <w:color w:val="auto"/>
          <w:sz w:val="28"/>
          <w:szCs w:val="28"/>
          <w:u w:val="none"/>
        </w:rPr>
        <w:t>月</w:t>
      </w:r>
      <w:r>
        <w:rPr>
          <w:rFonts w:hint="eastAsia" w:ascii="楷体_GB2312" w:hAnsi="宋体" w:eastAsia="楷体_GB2312" w:cs="楷体_GB2312"/>
          <w:color w:val="auto"/>
          <w:sz w:val="28"/>
          <w:szCs w:val="28"/>
          <w:u w:val="single"/>
          <w:lang w:val="en-US" w:eastAsia="zh-CN"/>
        </w:rPr>
        <w:t xml:space="preserve">    </w:t>
      </w:r>
      <w:r>
        <w:rPr>
          <w:rFonts w:hint="eastAsia" w:ascii="楷体_GB2312" w:hAnsi="宋体" w:eastAsia="楷体_GB2312" w:cs="楷体_GB2312"/>
          <w:color w:val="auto"/>
          <w:sz w:val="28"/>
          <w:szCs w:val="28"/>
          <w:u w:val="none"/>
        </w:rPr>
        <w:t>日</w:t>
      </w:r>
      <w:r>
        <w:rPr>
          <w:rFonts w:hint="eastAsia" w:ascii="楷体_GB2312" w:hAnsi="宋体" w:eastAsia="楷体_GB2312" w:cs="楷体_GB2312"/>
          <w:color w:val="auto"/>
          <w:sz w:val="28"/>
          <w:szCs w:val="28"/>
        </w:rPr>
        <w:t>起到</w:t>
      </w:r>
      <w:r>
        <w:rPr>
          <w:rFonts w:hint="eastAsia" w:ascii="楷体_GB2312" w:hAnsi="宋体" w:eastAsia="楷体_GB2312" w:cs="楷体_GB2312"/>
          <w:color w:val="auto"/>
          <w:sz w:val="28"/>
          <w:szCs w:val="28"/>
          <w:u w:val="single"/>
          <w:lang w:val="en-US" w:eastAsia="zh-CN"/>
        </w:rPr>
        <w:t xml:space="preserve">    </w:t>
      </w:r>
      <w:r>
        <w:rPr>
          <w:rFonts w:hint="eastAsia" w:ascii="楷体_GB2312" w:hAnsi="宋体" w:eastAsia="楷体_GB2312" w:cs="楷体_GB2312"/>
          <w:color w:val="auto"/>
          <w:sz w:val="28"/>
          <w:szCs w:val="28"/>
        </w:rPr>
        <w:t>年</w:t>
      </w:r>
      <w:r>
        <w:rPr>
          <w:rFonts w:hint="eastAsia" w:ascii="楷体_GB2312" w:hAnsi="宋体" w:eastAsia="楷体_GB2312" w:cs="楷体_GB2312"/>
          <w:color w:val="auto"/>
          <w:sz w:val="28"/>
          <w:szCs w:val="28"/>
          <w:u w:val="single"/>
          <w:lang w:val="en-US" w:eastAsia="zh-CN"/>
        </w:rPr>
        <w:t xml:space="preserve">    </w:t>
      </w:r>
      <w:r>
        <w:rPr>
          <w:rFonts w:hint="eastAsia" w:ascii="楷体_GB2312" w:hAnsi="宋体" w:eastAsia="楷体_GB2312" w:cs="楷体_GB2312"/>
          <w:color w:val="auto"/>
          <w:sz w:val="28"/>
          <w:szCs w:val="28"/>
          <w:lang w:val="en-US" w:eastAsia="zh-CN"/>
        </w:rPr>
        <w:t>月</w:t>
      </w:r>
      <w:r>
        <w:rPr>
          <w:rFonts w:hint="eastAsia" w:ascii="楷体_GB2312" w:hAnsi="宋体" w:eastAsia="楷体_GB2312" w:cs="楷体_GB2312"/>
          <w:color w:val="auto"/>
          <w:sz w:val="28"/>
          <w:szCs w:val="28"/>
          <w:u w:val="single"/>
          <w:lang w:val="en-US" w:eastAsia="zh-CN"/>
        </w:rPr>
        <w:t xml:space="preserve">    </w:t>
      </w:r>
      <w:r>
        <w:rPr>
          <w:rFonts w:hint="eastAsia" w:ascii="楷体_GB2312" w:hAnsi="宋体" w:eastAsia="楷体_GB2312" w:cs="楷体_GB2312"/>
          <w:color w:val="auto"/>
          <w:sz w:val="28"/>
          <w:szCs w:val="28"/>
        </w:rPr>
        <w:t>日止</w:t>
      </w:r>
      <w:r>
        <w:rPr>
          <w:rFonts w:hint="eastAsia" w:ascii="楷体_GB2312" w:hAnsi="宋体" w:eastAsia="楷体_GB2312" w:cs="楷体_GB2312"/>
          <w:color w:val="auto"/>
          <w:sz w:val="28"/>
          <w:szCs w:val="28"/>
          <w:lang w:eastAsia="zh-CN"/>
        </w:rPr>
        <w:t>。</w:t>
      </w:r>
    </w:p>
    <w:p w14:paraId="47B2B6F2">
      <w:pPr>
        <w:spacing w:line="500" w:lineRule="exact"/>
        <w:ind w:firstLine="560" w:firstLineChars="200"/>
        <w:rPr>
          <w:rFonts w:hint="eastAsia" w:ascii="楷体_GB2312" w:hAnsi="宋体" w:eastAsia="楷体_GB2312" w:cs="楷体_GB2312"/>
          <w:color w:val="auto"/>
          <w:sz w:val="28"/>
          <w:szCs w:val="28"/>
        </w:rPr>
      </w:pPr>
      <w:r>
        <w:rPr>
          <w:rFonts w:hint="eastAsia" w:ascii="楷体_GB2312" w:hAnsi="宋体" w:eastAsia="楷体_GB2312" w:cs="楷体_GB2312"/>
          <w:color w:val="auto"/>
          <w:sz w:val="28"/>
          <w:szCs w:val="28"/>
        </w:rPr>
        <w:t>2.本合同自双方签字、盖章之日起生效，一式肆份，甲乙双方各持贰份，具有同等法律效力。</w:t>
      </w:r>
    </w:p>
    <w:p w14:paraId="7986D689">
      <w:pPr>
        <w:spacing w:line="500" w:lineRule="exact"/>
        <w:ind w:firstLine="560" w:firstLineChars="200"/>
        <w:rPr>
          <w:rFonts w:hint="eastAsia" w:ascii="楷体_GB2312" w:hAnsi="宋体" w:eastAsia="楷体_GB2312" w:cs="楷体_GB2312"/>
          <w:color w:val="auto"/>
          <w:sz w:val="28"/>
          <w:szCs w:val="28"/>
        </w:rPr>
      </w:pPr>
      <w:r>
        <w:rPr>
          <w:rFonts w:hint="eastAsia" w:ascii="楷体_GB2312" w:hAnsi="宋体" w:eastAsia="楷体_GB2312" w:cs="楷体_GB2312"/>
          <w:color w:val="auto"/>
          <w:sz w:val="28"/>
          <w:szCs w:val="28"/>
        </w:rPr>
        <w:t>3.本合同文本及各项附件，及双方共同签署的针对本合同的补充文件都是本合同的组成部分，与本合同具有同等法律效力。</w:t>
      </w:r>
    </w:p>
    <w:p w14:paraId="6B636287">
      <w:pPr>
        <w:spacing w:line="500" w:lineRule="exact"/>
        <w:ind w:firstLine="560" w:firstLineChars="200"/>
        <w:rPr>
          <w:rFonts w:hint="eastAsia" w:ascii="楷体_GB2312" w:hAnsi="宋体" w:eastAsia="楷体_GB2312" w:cs="楷体_GB2312"/>
          <w:color w:val="auto"/>
          <w:sz w:val="28"/>
          <w:szCs w:val="28"/>
        </w:rPr>
      </w:pPr>
      <w:r>
        <w:rPr>
          <w:rFonts w:hint="eastAsia" w:ascii="楷体_GB2312" w:hAnsi="宋体" w:eastAsia="楷体_GB2312" w:cs="楷体_GB2312"/>
          <w:color w:val="auto"/>
          <w:sz w:val="28"/>
          <w:szCs w:val="28"/>
        </w:rPr>
        <w:t>4.本合同列明的双方地址，为甲乙双方在履行本合同及与本合同相关的诉讼、仲裁中的送达地址，任何一方送达地址发生变更的，应书面通知另一方，未通知的视为未变更。</w:t>
      </w:r>
    </w:p>
    <w:p w14:paraId="0C7674B7">
      <w:pPr>
        <w:spacing w:line="240" w:lineRule="auto"/>
        <w:ind w:firstLine="560" w:firstLineChars="200"/>
        <w:rPr>
          <w:rFonts w:hint="eastAsia" w:ascii="楷体_GB2312" w:hAnsi="宋体" w:eastAsia="楷体_GB2312" w:cs="楷体_GB2312"/>
          <w:color w:val="auto"/>
          <w:sz w:val="28"/>
          <w:szCs w:val="28"/>
        </w:rPr>
      </w:pPr>
      <w:r>
        <w:rPr>
          <w:rFonts w:hint="eastAsia" w:ascii="楷体_GB2312" w:hAnsi="宋体" w:eastAsia="楷体_GB2312" w:cs="楷体_GB2312"/>
          <w:color w:val="auto"/>
          <w:sz w:val="28"/>
          <w:szCs w:val="28"/>
        </w:rPr>
        <w:t>5.双方确认以电子邮件方式开展日常业务联系，甲方指定业务联系人为</w:t>
      </w:r>
      <w:r>
        <w:rPr>
          <w:rFonts w:hint="eastAsia" w:ascii="楷体_GB2312" w:hAnsi="宋体" w:eastAsia="楷体_GB2312" w:cs="楷体_GB2312"/>
          <w:color w:val="auto"/>
          <w:sz w:val="28"/>
          <w:szCs w:val="28"/>
          <w:u w:val="single"/>
          <w:lang w:val="en-US" w:eastAsia="zh-CN"/>
        </w:rPr>
        <w:t xml:space="preserve">    </w:t>
      </w:r>
      <w:r>
        <w:rPr>
          <w:rFonts w:hint="eastAsia" w:ascii="楷体_GB2312" w:hAnsi="宋体" w:eastAsia="楷体_GB2312" w:cs="楷体_GB2312"/>
          <w:color w:val="auto"/>
          <w:sz w:val="28"/>
          <w:szCs w:val="28"/>
        </w:rPr>
        <w:t>，联系电子邮箱</w:t>
      </w:r>
      <w:r>
        <w:rPr>
          <w:rFonts w:hint="eastAsia" w:ascii="楷体_GB2312" w:hAnsi="宋体" w:eastAsia="楷体_GB2312" w:cs="楷体_GB2312"/>
          <w:color w:val="auto"/>
          <w:sz w:val="28"/>
          <w:szCs w:val="28"/>
          <w:lang w:eastAsia="zh-CN"/>
        </w:rPr>
        <w:t>：</w:t>
      </w:r>
      <w:r>
        <w:rPr>
          <w:rFonts w:hint="eastAsia" w:ascii="楷体_GB2312" w:hAnsi="宋体" w:eastAsia="楷体_GB2312" w:cs="楷体_GB2312"/>
          <w:color w:val="auto"/>
          <w:sz w:val="28"/>
          <w:szCs w:val="28"/>
          <w:u w:val="single"/>
          <w:lang w:val="en-US" w:eastAsia="zh-CN"/>
        </w:rPr>
        <w:t xml:space="preserve">    </w:t>
      </w:r>
      <w:r>
        <w:rPr>
          <w:rFonts w:hint="eastAsia" w:ascii="楷体_GB2312" w:hAnsi="宋体" w:eastAsia="楷体_GB2312" w:cs="楷体_GB2312"/>
          <w:color w:val="auto"/>
          <w:sz w:val="28"/>
          <w:szCs w:val="28"/>
        </w:rPr>
        <w:t>，乙方指定业务联系人为</w:t>
      </w:r>
      <w:r>
        <w:rPr>
          <w:rFonts w:hint="eastAsia" w:ascii="楷体_GB2312" w:hAnsi="宋体" w:eastAsia="楷体_GB2312" w:cs="楷体_GB2312"/>
          <w:color w:val="auto"/>
          <w:sz w:val="28"/>
          <w:szCs w:val="28"/>
          <w:u w:val="single"/>
          <w:lang w:val="en-US" w:eastAsia="zh-CN"/>
        </w:rPr>
        <w:t xml:space="preserve">    </w:t>
      </w:r>
      <w:r>
        <w:rPr>
          <w:rFonts w:hint="eastAsia" w:ascii="楷体_GB2312" w:hAnsi="宋体" w:eastAsia="楷体_GB2312" w:cs="楷体_GB2312"/>
          <w:color w:val="auto"/>
          <w:sz w:val="28"/>
          <w:szCs w:val="28"/>
        </w:rPr>
        <w:t>，电话：</w:t>
      </w:r>
      <w:r>
        <w:rPr>
          <w:rFonts w:hint="eastAsia" w:ascii="楷体_GB2312" w:hAnsi="宋体" w:eastAsia="楷体_GB2312" w:cs="楷体_GB2312"/>
          <w:color w:val="auto"/>
          <w:sz w:val="28"/>
          <w:szCs w:val="28"/>
          <w:u w:val="single"/>
          <w:lang w:val="en-US" w:eastAsia="zh-CN"/>
        </w:rPr>
        <w:t xml:space="preserve">    </w:t>
      </w:r>
      <w:r>
        <w:rPr>
          <w:rFonts w:hint="eastAsia" w:ascii="楷体_GB2312" w:hAnsi="宋体" w:eastAsia="楷体_GB2312" w:cs="楷体_GB2312"/>
          <w:color w:val="auto"/>
          <w:sz w:val="28"/>
          <w:szCs w:val="28"/>
          <w:lang w:val="en-US" w:eastAsia="zh-CN"/>
        </w:rPr>
        <w:t>，联系电子邮箱：</w:t>
      </w:r>
      <w:r>
        <w:rPr>
          <w:rFonts w:hint="eastAsia" w:ascii="楷体_GB2312" w:hAnsi="宋体" w:eastAsia="楷体_GB2312" w:cs="楷体_GB2312"/>
          <w:color w:val="auto"/>
          <w:sz w:val="28"/>
          <w:szCs w:val="28"/>
          <w:u w:val="single"/>
          <w:lang w:val="en-US" w:eastAsia="zh-CN"/>
        </w:rPr>
        <w:t xml:space="preserve">    </w:t>
      </w:r>
      <w:r>
        <w:rPr>
          <w:rFonts w:hint="eastAsia" w:ascii="楷体_GB2312" w:hAnsi="宋体" w:eastAsia="楷体_GB2312" w:cs="楷体_GB2312"/>
          <w:color w:val="auto"/>
          <w:sz w:val="28"/>
          <w:szCs w:val="28"/>
        </w:rPr>
        <w:t>；任何一方联系人或联系邮箱发生变更的，应书面通知另一方，否则视为未变更。</w:t>
      </w:r>
    </w:p>
    <w:p w14:paraId="6EF8E5DD">
      <w:pPr>
        <w:pStyle w:val="2"/>
        <w:rPr>
          <w:rFonts w:hint="eastAsia" w:ascii="楷体_GB2312" w:hAnsi="宋体" w:eastAsia="楷体_GB2312" w:cs="楷体_GB2312"/>
          <w:color w:val="auto"/>
          <w:sz w:val="28"/>
          <w:szCs w:val="28"/>
          <w:lang w:eastAsia="zh-CN"/>
        </w:rPr>
      </w:pPr>
    </w:p>
    <w:tbl>
      <w:tblPr>
        <w:tblStyle w:val="8"/>
        <w:tblpPr w:leftFromText="180" w:rightFromText="180" w:vertAnchor="text" w:horzAnchor="page" w:tblpX="1646" w:tblpY="107"/>
        <w:tblW w:w="9518" w:type="dxa"/>
        <w:tblInd w:w="0" w:type="dxa"/>
        <w:tblLayout w:type="fixed"/>
        <w:tblCellMar>
          <w:top w:w="0" w:type="dxa"/>
          <w:left w:w="108" w:type="dxa"/>
          <w:bottom w:w="0" w:type="dxa"/>
          <w:right w:w="108" w:type="dxa"/>
        </w:tblCellMar>
      </w:tblPr>
      <w:tblGrid>
        <w:gridCol w:w="1008"/>
        <w:gridCol w:w="3240"/>
        <w:gridCol w:w="770"/>
        <w:gridCol w:w="1080"/>
        <w:gridCol w:w="3420"/>
      </w:tblGrid>
      <w:tr w14:paraId="61F797E2">
        <w:tblPrEx>
          <w:tblCellMar>
            <w:top w:w="0" w:type="dxa"/>
            <w:left w:w="108" w:type="dxa"/>
            <w:bottom w:w="0" w:type="dxa"/>
            <w:right w:w="108" w:type="dxa"/>
          </w:tblCellMar>
        </w:tblPrEx>
        <w:tc>
          <w:tcPr>
            <w:tcW w:w="1008" w:type="dxa"/>
            <w:noWrap w:val="0"/>
            <w:vAlign w:val="top"/>
          </w:tcPr>
          <w:p w14:paraId="44F5D50C">
            <w:pPr>
              <w:spacing w:line="500" w:lineRule="exact"/>
              <w:rPr>
                <w:rFonts w:hint="eastAsia" w:ascii="楷体_GB2312" w:hAnsi="宋体" w:eastAsia="楷体_GB2312" w:cs="楷体_GB2312"/>
                <w:color w:val="auto"/>
                <w:sz w:val="28"/>
                <w:szCs w:val="28"/>
              </w:rPr>
            </w:pPr>
            <w:r>
              <w:rPr>
                <w:rFonts w:hint="eastAsia" w:ascii="楷体_GB2312" w:hAnsi="宋体" w:eastAsia="楷体_GB2312" w:cs="楷体_GB2312"/>
                <w:color w:val="auto"/>
                <w:sz w:val="28"/>
                <w:szCs w:val="28"/>
              </w:rPr>
              <w:t>甲方：</w:t>
            </w:r>
          </w:p>
        </w:tc>
        <w:tc>
          <w:tcPr>
            <w:tcW w:w="3240" w:type="dxa"/>
            <w:noWrap w:val="0"/>
            <w:vAlign w:val="top"/>
          </w:tcPr>
          <w:p w14:paraId="382E554D">
            <w:pPr>
              <w:spacing w:line="500" w:lineRule="exact"/>
              <w:ind w:firstLine="560" w:firstLineChars="200"/>
              <w:rPr>
                <w:rFonts w:hint="eastAsia" w:ascii="楷体_GB2312" w:hAnsi="宋体" w:eastAsia="楷体_GB2312" w:cs="楷体_GB2312"/>
                <w:color w:val="auto"/>
                <w:sz w:val="28"/>
                <w:szCs w:val="28"/>
              </w:rPr>
            </w:pPr>
          </w:p>
        </w:tc>
        <w:tc>
          <w:tcPr>
            <w:tcW w:w="770" w:type="dxa"/>
            <w:noWrap w:val="0"/>
            <w:vAlign w:val="top"/>
          </w:tcPr>
          <w:p w14:paraId="7FD73A52">
            <w:pPr>
              <w:spacing w:line="500" w:lineRule="exact"/>
              <w:ind w:firstLine="560" w:firstLineChars="200"/>
              <w:rPr>
                <w:rFonts w:hint="eastAsia" w:ascii="楷体_GB2312" w:hAnsi="宋体" w:eastAsia="楷体_GB2312" w:cs="楷体_GB2312"/>
                <w:color w:val="auto"/>
                <w:sz w:val="28"/>
                <w:szCs w:val="28"/>
              </w:rPr>
            </w:pPr>
          </w:p>
        </w:tc>
        <w:tc>
          <w:tcPr>
            <w:tcW w:w="1080" w:type="dxa"/>
            <w:noWrap w:val="0"/>
            <w:vAlign w:val="top"/>
          </w:tcPr>
          <w:p w14:paraId="40198FF3">
            <w:pPr>
              <w:spacing w:line="500" w:lineRule="exact"/>
              <w:rPr>
                <w:rFonts w:hint="eastAsia" w:ascii="楷体_GB2312" w:hAnsi="宋体" w:eastAsia="楷体_GB2312" w:cs="楷体_GB2312"/>
                <w:color w:val="auto"/>
                <w:sz w:val="28"/>
                <w:szCs w:val="28"/>
              </w:rPr>
            </w:pPr>
            <w:r>
              <w:rPr>
                <w:rFonts w:hint="eastAsia" w:ascii="楷体_GB2312" w:hAnsi="宋体" w:eastAsia="楷体_GB2312" w:cs="楷体_GB2312"/>
                <w:color w:val="auto"/>
                <w:sz w:val="28"/>
                <w:szCs w:val="28"/>
              </w:rPr>
              <w:t>乙方：</w:t>
            </w:r>
          </w:p>
        </w:tc>
        <w:tc>
          <w:tcPr>
            <w:tcW w:w="3420" w:type="dxa"/>
            <w:noWrap w:val="0"/>
            <w:vAlign w:val="top"/>
          </w:tcPr>
          <w:p w14:paraId="33D19E90">
            <w:pPr>
              <w:spacing w:line="500" w:lineRule="exact"/>
              <w:ind w:firstLine="0" w:firstLineChars="0"/>
              <w:rPr>
                <w:rFonts w:hint="eastAsia" w:ascii="楷体_GB2312" w:hAnsi="宋体" w:eastAsia="楷体_GB2312" w:cs="楷体_GB2312"/>
                <w:color w:val="auto"/>
                <w:sz w:val="28"/>
                <w:szCs w:val="28"/>
                <w:u w:val="single"/>
              </w:rPr>
            </w:pPr>
          </w:p>
        </w:tc>
      </w:tr>
      <w:tr w14:paraId="650C05A8">
        <w:tblPrEx>
          <w:tblCellMar>
            <w:top w:w="0" w:type="dxa"/>
            <w:left w:w="108" w:type="dxa"/>
            <w:bottom w:w="0" w:type="dxa"/>
            <w:right w:w="108" w:type="dxa"/>
          </w:tblCellMar>
        </w:tblPrEx>
        <w:tc>
          <w:tcPr>
            <w:tcW w:w="4248" w:type="dxa"/>
            <w:gridSpan w:val="2"/>
            <w:noWrap w:val="0"/>
            <w:vAlign w:val="top"/>
          </w:tcPr>
          <w:p w14:paraId="69D88D65">
            <w:pPr>
              <w:spacing w:line="500" w:lineRule="exact"/>
              <w:ind w:firstLine="0" w:firstLineChars="0"/>
              <w:rPr>
                <w:rFonts w:hint="eastAsia" w:ascii="楷体_GB2312" w:hAnsi="宋体" w:eastAsia="楷体_GB2312" w:cs="楷体_GB2312"/>
                <w:color w:val="auto"/>
                <w:sz w:val="28"/>
                <w:szCs w:val="28"/>
              </w:rPr>
            </w:pPr>
            <w:r>
              <w:rPr>
                <w:rFonts w:hint="eastAsia" w:ascii="楷体_GB2312" w:hAnsi="宋体" w:eastAsia="楷体_GB2312" w:cs="楷体_GB2312"/>
                <w:color w:val="auto"/>
                <w:sz w:val="28"/>
                <w:szCs w:val="28"/>
              </w:rPr>
              <w:t>法定代表人或委托代理人</w:t>
            </w:r>
          </w:p>
        </w:tc>
        <w:tc>
          <w:tcPr>
            <w:tcW w:w="770" w:type="dxa"/>
            <w:noWrap w:val="0"/>
            <w:vAlign w:val="top"/>
          </w:tcPr>
          <w:p w14:paraId="5963F182">
            <w:pPr>
              <w:spacing w:line="500" w:lineRule="exact"/>
              <w:ind w:firstLine="560" w:firstLineChars="200"/>
              <w:rPr>
                <w:rFonts w:hint="eastAsia" w:ascii="楷体_GB2312" w:hAnsi="宋体" w:eastAsia="楷体_GB2312" w:cs="楷体_GB2312"/>
                <w:color w:val="auto"/>
                <w:sz w:val="28"/>
                <w:szCs w:val="28"/>
              </w:rPr>
            </w:pPr>
          </w:p>
        </w:tc>
        <w:tc>
          <w:tcPr>
            <w:tcW w:w="4500" w:type="dxa"/>
            <w:gridSpan w:val="2"/>
            <w:noWrap w:val="0"/>
            <w:vAlign w:val="top"/>
          </w:tcPr>
          <w:p w14:paraId="301A7AB8">
            <w:pPr>
              <w:spacing w:line="500" w:lineRule="exact"/>
              <w:ind w:firstLine="0" w:firstLineChars="0"/>
              <w:rPr>
                <w:rFonts w:hint="eastAsia" w:ascii="楷体_GB2312" w:hAnsi="宋体" w:eastAsia="楷体_GB2312" w:cs="楷体_GB2312"/>
                <w:color w:val="auto"/>
                <w:sz w:val="28"/>
                <w:szCs w:val="28"/>
              </w:rPr>
            </w:pPr>
            <w:r>
              <w:rPr>
                <w:rFonts w:hint="eastAsia" w:ascii="楷体_GB2312" w:hAnsi="宋体" w:eastAsia="楷体_GB2312" w:cs="楷体_GB2312"/>
                <w:color w:val="auto"/>
                <w:sz w:val="28"/>
                <w:szCs w:val="28"/>
              </w:rPr>
              <w:t>法定代表人或委托代理人</w:t>
            </w:r>
          </w:p>
        </w:tc>
      </w:tr>
      <w:tr w14:paraId="0034954B">
        <w:tblPrEx>
          <w:tblCellMar>
            <w:top w:w="0" w:type="dxa"/>
            <w:left w:w="108" w:type="dxa"/>
            <w:bottom w:w="0" w:type="dxa"/>
            <w:right w:w="108" w:type="dxa"/>
          </w:tblCellMar>
        </w:tblPrEx>
        <w:tc>
          <w:tcPr>
            <w:tcW w:w="1008" w:type="dxa"/>
            <w:noWrap w:val="0"/>
            <w:vAlign w:val="top"/>
          </w:tcPr>
          <w:p w14:paraId="051993DD">
            <w:pPr>
              <w:spacing w:line="500" w:lineRule="exact"/>
              <w:rPr>
                <w:rFonts w:hint="eastAsia" w:ascii="楷体_GB2312" w:hAnsi="宋体" w:eastAsia="楷体_GB2312" w:cs="楷体_GB2312"/>
                <w:color w:val="auto"/>
                <w:sz w:val="28"/>
                <w:szCs w:val="28"/>
              </w:rPr>
            </w:pPr>
            <w:r>
              <w:rPr>
                <w:rFonts w:hint="eastAsia" w:ascii="楷体_GB2312" w:hAnsi="宋体" w:eastAsia="楷体_GB2312" w:cs="楷体_GB2312"/>
                <w:color w:val="auto"/>
                <w:sz w:val="28"/>
                <w:szCs w:val="28"/>
              </w:rPr>
              <w:t>签字：</w:t>
            </w:r>
          </w:p>
        </w:tc>
        <w:tc>
          <w:tcPr>
            <w:tcW w:w="3240" w:type="dxa"/>
            <w:noWrap w:val="0"/>
            <w:vAlign w:val="top"/>
          </w:tcPr>
          <w:p w14:paraId="5F983953">
            <w:pPr>
              <w:spacing w:line="500" w:lineRule="exact"/>
              <w:ind w:firstLine="560" w:firstLineChars="200"/>
              <w:rPr>
                <w:rFonts w:hint="eastAsia" w:ascii="楷体_GB2312" w:hAnsi="宋体" w:eastAsia="楷体_GB2312" w:cs="楷体_GB2312"/>
                <w:color w:val="auto"/>
                <w:sz w:val="28"/>
                <w:szCs w:val="28"/>
              </w:rPr>
            </w:pPr>
          </w:p>
        </w:tc>
        <w:tc>
          <w:tcPr>
            <w:tcW w:w="770" w:type="dxa"/>
            <w:noWrap w:val="0"/>
            <w:vAlign w:val="top"/>
          </w:tcPr>
          <w:p w14:paraId="1B2415A5">
            <w:pPr>
              <w:spacing w:line="500" w:lineRule="exact"/>
              <w:ind w:firstLine="560" w:firstLineChars="200"/>
              <w:rPr>
                <w:rFonts w:hint="eastAsia" w:ascii="楷体_GB2312" w:hAnsi="宋体" w:eastAsia="楷体_GB2312" w:cs="楷体_GB2312"/>
                <w:color w:val="auto"/>
                <w:sz w:val="28"/>
                <w:szCs w:val="28"/>
              </w:rPr>
            </w:pPr>
          </w:p>
        </w:tc>
        <w:tc>
          <w:tcPr>
            <w:tcW w:w="1080" w:type="dxa"/>
            <w:noWrap w:val="0"/>
            <w:vAlign w:val="top"/>
          </w:tcPr>
          <w:p w14:paraId="753AB66B">
            <w:pPr>
              <w:spacing w:line="500" w:lineRule="exact"/>
              <w:rPr>
                <w:rFonts w:hint="eastAsia" w:ascii="楷体_GB2312" w:hAnsi="宋体" w:eastAsia="楷体_GB2312" w:cs="楷体_GB2312"/>
                <w:color w:val="auto"/>
                <w:sz w:val="28"/>
                <w:szCs w:val="28"/>
              </w:rPr>
            </w:pPr>
            <w:r>
              <w:rPr>
                <w:rFonts w:hint="eastAsia" w:ascii="楷体_GB2312" w:hAnsi="宋体" w:eastAsia="楷体_GB2312" w:cs="楷体_GB2312"/>
                <w:color w:val="auto"/>
                <w:sz w:val="28"/>
                <w:szCs w:val="28"/>
              </w:rPr>
              <w:t>签字：</w:t>
            </w:r>
          </w:p>
        </w:tc>
        <w:tc>
          <w:tcPr>
            <w:tcW w:w="3420" w:type="dxa"/>
            <w:noWrap w:val="0"/>
            <w:vAlign w:val="top"/>
          </w:tcPr>
          <w:p w14:paraId="4F66569B">
            <w:pPr>
              <w:spacing w:line="500" w:lineRule="exact"/>
              <w:ind w:firstLine="420" w:firstLineChars="200"/>
              <w:rPr>
                <w:rFonts w:hint="eastAsia"/>
                <w:color w:val="auto"/>
              </w:rPr>
            </w:pPr>
          </w:p>
          <w:p w14:paraId="04FF8036">
            <w:pPr>
              <w:pStyle w:val="7"/>
              <w:rPr>
                <w:rFonts w:hint="eastAsia"/>
                <w:color w:val="auto"/>
              </w:rPr>
            </w:pPr>
          </w:p>
        </w:tc>
      </w:tr>
      <w:tr w14:paraId="39952E73">
        <w:tblPrEx>
          <w:tblCellMar>
            <w:top w:w="0" w:type="dxa"/>
            <w:left w:w="108" w:type="dxa"/>
            <w:bottom w:w="0" w:type="dxa"/>
            <w:right w:w="108" w:type="dxa"/>
          </w:tblCellMar>
        </w:tblPrEx>
        <w:tc>
          <w:tcPr>
            <w:tcW w:w="1008" w:type="dxa"/>
            <w:noWrap w:val="0"/>
            <w:vAlign w:val="top"/>
          </w:tcPr>
          <w:p w14:paraId="0FEE24C8">
            <w:pPr>
              <w:spacing w:line="500" w:lineRule="exact"/>
              <w:rPr>
                <w:rFonts w:hint="eastAsia" w:ascii="楷体_GB2312" w:hAnsi="宋体" w:eastAsia="楷体_GB2312" w:cs="楷体_GB2312"/>
                <w:color w:val="auto"/>
                <w:sz w:val="28"/>
                <w:szCs w:val="28"/>
              </w:rPr>
            </w:pPr>
            <w:r>
              <w:rPr>
                <w:rFonts w:hint="eastAsia" w:ascii="楷体_GB2312" w:hAnsi="宋体" w:eastAsia="楷体_GB2312" w:cs="楷体_GB2312"/>
                <w:color w:val="auto"/>
                <w:sz w:val="28"/>
                <w:szCs w:val="28"/>
              </w:rPr>
              <w:t>日期：</w:t>
            </w:r>
          </w:p>
        </w:tc>
        <w:tc>
          <w:tcPr>
            <w:tcW w:w="3240" w:type="dxa"/>
            <w:noWrap w:val="0"/>
            <w:vAlign w:val="top"/>
          </w:tcPr>
          <w:p w14:paraId="199B6FA3">
            <w:pPr>
              <w:spacing w:line="500" w:lineRule="exact"/>
              <w:ind w:firstLine="560" w:firstLineChars="200"/>
              <w:rPr>
                <w:rFonts w:hint="eastAsia" w:ascii="楷体_GB2312" w:hAnsi="宋体" w:eastAsia="楷体_GB2312" w:cs="楷体_GB2312"/>
                <w:color w:val="auto"/>
                <w:sz w:val="28"/>
                <w:szCs w:val="28"/>
              </w:rPr>
            </w:pPr>
            <w:r>
              <w:rPr>
                <w:rFonts w:hint="eastAsia" w:ascii="楷体_GB2312" w:hAnsi="宋体" w:eastAsia="楷体_GB2312" w:cs="楷体_GB2312"/>
                <w:color w:val="auto"/>
                <w:sz w:val="28"/>
                <w:szCs w:val="28"/>
              </w:rPr>
              <w:t>年</w:t>
            </w:r>
            <w:r>
              <w:rPr>
                <w:rFonts w:hint="eastAsia" w:ascii="楷体_GB2312" w:hAnsi="宋体" w:eastAsia="楷体_GB2312" w:cs="楷体_GB2312"/>
                <w:color w:val="auto"/>
                <w:sz w:val="28"/>
                <w:szCs w:val="28"/>
                <w:lang w:val="en-US" w:eastAsia="zh-CN"/>
              </w:rPr>
              <w:t xml:space="preserve">   </w:t>
            </w:r>
            <w:r>
              <w:rPr>
                <w:rFonts w:hint="eastAsia" w:ascii="楷体_GB2312" w:hAnsi="宋体" w:eastAsia="楷体_GB2312" w:cs="楷体_GB2312"/>
                <w:color w:val="auto"/>
                <w:sz w:val="28"/>
                <w:szCs w:val="28"/>
              </w:rPr>
              <w:t xml:space="preserve">月  </w:t>
            </w:r>
            <w:r>
              <w:rPr>
                <w:rFonts w:hint="eastAsia" w:ascii="楷体_GB2312" w:hAnsi="宋体" w:eastAsia="楷体_GB2312" w:cs="楷体_GB2312"/>
                <w:color w:val="auto"/>
                <w:sz w:val="28"/>
                <w:szCs w:val="28"/>
                <w:lang w:val="en-US" w:eastAsia="zh-CN"/>
              </w:rPr>
              <w:t xml:space="preserve"> </w:t>
            </w:r>
            <w:r>
              <w:rPr>
                <w:rFonts w:hint="eastAsia" w:ascii="楷体_GB2312" w:hAnsi="宋体" w:eastAsia="楷体_GB2312" w:cs="楷体_GB2312"/>
                <w:color w:val="auto"/>
                <w:sz w:val="28"/>
                <w:szCs w:val="28"/>
              </w:rPr>
              <w:t>日</w:t>
            </w:r>
          </w:p>
        </w:tc>
        <w:tc>
          <w:tcPr>
            <w:tcW w:w="770" w:type="dxa"/>
            <w:noWrap w:val="0"/>
            <w:vAlign w:val="top"/>
          </w:tcPr>
          <w:p w14:paraId="6F092182">
            <w:pPr>
              <w:spacing w:line="500" w:lineRule="exact"/>
              <w:ind w:firstLine="560" w:firstLineChars="200"/>
              <w:rPr>
                <w:rFonts w:hint="eastAsia" w:ascii="楷体_GB2312" w:hAnsi="宋体" w:eastAsia="楷体_GB2312" w:cs="楷体_GB2312"/>
                <w:color w:val="auto"/>
                <w:sz w:val="28"/>
                <w:szCs w:val="28"/>
              </w:rPr>
            </w:pPr>
          </w:p>
        </w:tc>
        <w:tc>
          <w:tcPr>
            <w:tcW w:w="1080" w:type="dxa"/>
            <w:noWrap w:val="0"/>
            <w:vAlign w:val="top"/>
          </w:tcPr>
          <w:p w14:paraId="62FC0609">
            <w:pPr>
              <w:spacing w:line="500" w:lineRule="exact"/>
              <w:rPr>
                <w:rFonts w:hint="eastAsia" w:ascii="楷体_GB2312" w:hAnsi="宋体" w:eastAsia="楷体_GB2312" w:cs="楷体_GB2312"/>
                <w:color w:val="auto"/>
                <w:sz w:val="28"/>
                <w:szCs w:val="28"/>
              </w:rPr>
            </w:pPr>
            <w:r>
              <w:rPr>
                <w:rFonts w:hint="eastAsia" w:ascii="楷体_GB2312" w:hAnsi="宋体" w:eastAsia="楷体_GB2312" w:cs="楷体_GB2312"/>
                <w:color w:val="auto"/>
                <w:sz w:val="28"/>
                <w:szCs w:val="28"/>
              </w:rPr>
              <w:t>日期：</w:t>
            </w:r>
          </w:p>
        </w:tc>
        <w:tc>
          <w:tcPr>
            <w:tcW w:w="3420" w:type="dxa"/>
            <w:noWrap w:val="0"/>
            <w:vAlign w:val="top"/>
          </w:tcPr>
          <w:p w14:paraId="3549160D">
            <w:pPr>
              <w:spacing w:line="500" w:lineRule="exact"/>
              <w:ind w:firstLine="560" w:firstLineChars="200"/>
              <w:rPr>
                <w:rFonts w:hint="eastAsia" w:ascii="楷体_GB2312" w:hAnsi="宋体" w:eastAsia="楷体_GB2312" w:cs="楷体_GB2312"/>
                <w:color w:val="auto"/>
                <w:sz w:val="28"/>
                <w:szCs w:val="28"/>
              </w:rPr>
            </w:pPr>
            <w:r>
              <w:rPr>
                <w:rFonts w:hint="eastAsia" w:ascii="楷体_GB2312" w:hAnsi="宋体" w:eastAsia="楷体_GB2312" w:cs="楷体_GB2312"/>
                <w:color w:val="auto"/>
                <w:sz w:val="28"/>
                <w:szCs w:val="28"/>
              </w:rPr>
              <w:t>年</w:t>
            </w:r>
            <w:r>
              <w:rPr>
                <w:rFonts w:hint="eastAsia" w:ascii="楷体_GB2312" w:hAnsi="宋体" w:eastAsia="楷体_GB2312" w:cs="楷体_GB2312"/>
                <w:color w:val="auto"/>
                <w:sz w:val="28"/>
                <w:szCs w:val="28"/>
                <w:lang w:val="en-US" w:eastAsia="zh-CN"/>
              </w:rPr>
              <w:t xml:space="preserve">   </w:t>
            </w:r>
            <w:r>
              <w:rPr>
                <w:rFonts w:hint="eastAsia" w:ascii="楷体_GB2312" w:hAnsi="宋体" w:eastAsia="楷体_GB2312" w:cs="楷体_GB2312"/>
                <w:color w:val="auto"/>
                <w:sz w:val="28"/>
                <w:szCs w:val="28"/>
              </w:rPr>
              <w:t xml:space="preserve">月  </w:t>
            </w:r>
            <w:r>
              <w:rPr>
                <w:rFonts w:hint="eastAsia" w:ascii="楷体_GB2312" w:hAnsi="宋体" w:eastAsia="楷体_GB2312" w:cs="楷体_GB2312"/>
                <w:color w:val="auto"/>
                <w:sz w:val="28"/>
                <w:szCs w:val="28"/>
                <w:lang w:val="en-US" w:eastAsia="zh-CN"/>
              </w:rPr>
              <w:t xml:space="preserve"> </w:t>
            </w:r>
            <w:r>
              <w:rPr>
                <w:rFonts w:hint="eastAsia" w:ascii="楷体_GB2312" w:hAnsi="宋体" w:eastAsia="楷体_GB2312" w:cs="楷体_GB2312"/>
                <w:color w:val="auto"/>
                <w:sz w:val="28"/>
                <w:szCs w:val="28"/>
              </w:rPr>
              <w:t>日</w:t>
            </w:r>
          </w:p>
        </w:tc>
      </w:tr>
    </w:tbl>
    <w:p w14:paraId="5FCDE033">
      <w:pPr>
        <w:pStyle w:val="2"/>
        <w:rPr>
          <w:rFonts w:hint="eastAsia" w:ascii="楷体_GB2312" w:hAnsi="宋体" w:eastAsia="楷体_GB2312" w:cs="楷体_GB2312"/>
          <w:color w:val="auto"/>
          <w:sz w:val="28"/>
          <w:szCs w:val="28"/>
        </w:rPr>
      </w:pPr>
    </w:p>
    <w:p w14:paraId="67C7A2B8">
      <w:pPr>
        <w:rPr>
          <w:rFonts w:hint="eastAsia" w:ascii="楷体_GB2312" w:hAnsi="宋体" w:eastAsia="楷体_GB2312" w:cs="楷体_GB2312"/>
          <w:color w:val="auto"/>
          <w:sz w:val="28"/>
          <w:szCs w:val="28"/>
          <w:lang w:val="en-US" w:eastAsia="zh-CN"/>
        </w:rPr>
      </w:pPr>
      <w:r>
        <w:rPr>
          <w:rFonts w:hint="eastAsia"/>
          <w:color w:val="auto"/>
        </w:rPr>
        <w:br w:type="page"/>
      </w:r>
      <w:r>
        <w:rPr>
          <w:rFonts w:hint="eastAsia" w:ascii="楷体_GB2312" w:hAnsi="宋体" w:eastAsia="楷体_GB2312" w:cs="楷体_GB2312"/>
          <w:color w:val="auto"/>
          <w:sz w:val="28"/>
          <w:szCs w:val="28"/>
          <w:lang w:val="en-US" w:eastAsia="zh-CN"/>
        </w:rPr>
        <w:t>附件1、服务内容</w:t>
      </w:r>
    </w:p>
    <w:tbl>
      <w:tblPr>
        <w:tblStyle w:val="8"/>
        <w:tblW w:w="9028" w:type="dxa"/>
        <w:tblInd w:w="-11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71"/>
        <w:gridCol w:w="1500"/>
        <w:gridCol w:w="2485"/>
        <w:gridCol w:w="688"/>
        <w:gridCol w:w="716"/>
        <w:gridCol w:w="750"/>
        <w:gridCol w:w="2218"/>
      </w:tblGrid>
      <w:tr w14:paraId="6EA52F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671" w:type="dxa"/>
            <w:tcBorders>
              <w:top w:val="single" w:color="000000" w:sz="4" w:space="0"/>
              <w:left w:val="single" w:color="000000" w:sz="4" w:space="0"/>
              <w:bottom w:val="single" w:color="000000" w:sz="4" w:space="0"/>
              <w:right w:val="single" w:color="000000" w:sz="4" w:space="0"/>
            </w:tcBorders>
            <w:noWrap w:val="0"/>
            <w:vAlign w:val="center"/>
          </w:tcPr>
          <w:p w14:paraId="0CA8674A">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1500" w:type="dxa"/>
            <w:tcBorders>
              <w:top w:val="single" w:color="000000" w:sz="4" w:space="0"/>
              <w:left w:val="single" w:color="000000" w:sz="4" w:space="0"/>
              <w:bottom w:val="single" w:color="000000" w:sz="4" w:space="0"/>
              <w:right w:val="single" w:color="000000" w:sz="4" w:space="0"/>
            </w:tcBorders>
            <w:noWrap w:val="0"/>
            <w:vAlign w:val="center"/>
          </w:tcPr>
          <w:p w14:paraId="2D558CD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产品名称</w:t>
            </w:r>
          </w:p>
        </w:tc>
        <w:tc>
          <w:tcPr>
            <w:tcW w:w="2485" w:type="dxa"/>
            <w:tcBorders>
              <w:top w:val="single" w:color="000000" w:sz="4" w:space="0"/>
              <w:left w:val="single" w:color="000000" w:sz="4" w:space="0"/>
              <w:bottom w:val="single" w:color="000000" w:sz="4" w:space="0"/>
              <w:right w:val="single" w:color="000000" w:sz="4" w:space="0"/>
            </w:tcBorders>
            <w:noWrap w:val="0"/>
            <w:vAlign w:val="center"/>
          </w:tcPr>
          <w:p w14:paraId="38AF722A">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规格型号</w:t>
            </w:r>
          </w:p>
        </w:tc>
        <w:tc>
          <w:tcPr>
            <w:tcW w:w="688" w:type="dxa"/>
            <w:tcBorders>
              <w:top w:val="single" w:color="000000" w:sz="4" w:space="0"/>
              <w:left w:val="single" w:color="000000" w:sz="4" w:space="0"/>
              <w:bottom w:val="single" w:color="000000" w:sz="4" w:space="0"/>
              <w:right w:val="single" w:color="000000" w:sz="4" w:space="0"/>
            </w:tcBorders>
            <w:noWrap w:val="0"/>
            <w:vAlign w:val="center"/>
          </w:tcPr>
          <w:p w14:paraId="512D30DD">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产地</w:t>
            </w:r>
          </w:p>
        </w:tc>
        <w:tc>
          <w:tcPr>
            <w:tcW w:w="716" w:type="dxa"/>
            <w:tcBorders>
              <w:top w:val="single" w:color="000000" w:sz="4" w:space="0"/>
              <w:left w:val="single" w:color="000000" w:sz="4" w:space="0"/>
              <w:bottom w:val="single" w:color="000000" w:sz="4" w:space="0"/>
              <w:right w:val="single" w:color="000000" w:sz="4" w:space="0"/>
            </w:tcBorders>
            <w:noWrap w:val="0"/>
            <w:vAlign w:val="center"/>
          </w:tcPr>
          <w:p w14:paraId="615FB2E1">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数量</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0C06718A">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单位</w:t>
            </w:r>
          </w:p>
        </w:tc>
        <w:tc>
          <w:tcPr>
            <w:tcW w:w="2218" w:type="dxa"/>
            <w:tcBorders>
              <w:top w:val="single" w:color="000000" w:sz="4" w:space="0"/>
              <w:left w:val="single" w:color="000000" w:sz="4" w:space="0"/>
              <w:bottom w:val="single" w:color="000000" w:sz="4" w:space="0"/>
              <w:right w:val="single" w:color="000000" w:sz="4" w:space="0"/>
            </w:tcBorders>
            <w:noWrap w:val="0"/>
            <w:vAlign w:val="center"/>
          </w:tcPr>
          <w:p w14:paraId="1A4F33A8">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备注</w:t>
            </w:r>
          </w:p>
        </w:tc>
      </w:tr>
      <w:tr w14:paraId="543E68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671" w:type="dxa"/>
            <w:tcBorders>
              <w:top w:val="single" w:color="000000" w:sz="4" w:space="0"/>
              <w:left w:val="single" w:color="000000" w:sz="4" w:space="0"/>
              <w:bottom w:val="single" w:color="000000" w:sz="4" w:space="0"/>
              <w:right w:val="single" w:color="000000" w:sz="4" w:space="0"/>
            </w:tcBorders>
            <w:noWrap w:val="0"/>
            <w:vAlign w:val="center"/>
          </w:tcPr>
          <w:p w14:paraId="40662BB4">
            <w:pPr>
              <w:keepNext w:val="0"/>
              <w:keepLines w:val="0"/>
              <w:widowControl/>
              <w:suppressLineNumbers w:val="0"/>
              <w:jc w:val="center"/>
              <w:textAlignment w:val="center"/>
              <w:rPr>
                <w:rFonts w:ascii="Arial" w:hAnsi="Arial" w:eastAsia="Tahoma" w:cs="Arial"/>
                <w:i w:val="0"/>
                <w:iCs w:val="0"/>
                <w:color w:val="000000"/>
                <w:sz w:val="20"/>
                <w:szCs w:val="20"/>
                <w:u w:val="none"/>
              </w:rPr>
            </w:pPr>
            <w:r>
              <w:rPr>
                <w:rFonts w:hint="default" w:ascii="Arial" w:hAnsi="Arial" w:eastAsia="Tahoma" w:cs="Arial"/>
                <w:i w:val="0"/>
                <w:iCs w:val="0"/>
                <w:color w:val="000000"/>
                <w:kern w:val="0"/>
                <w:sz w:val="20"/>
                <w:szCs w:val="20"/>
                <w:u w:val="none"/>
                <w:lang w:val="en-US" w:eastAsia="zh-CN" w:bidi="ar"/>
              </w:rPr>
              <w:t>1</w:t>
            </w:r>
          </w:p>
        </w:tc>
        <w:tc>
          <w:tcPr>
            <w:tcW w:w="1500" w:type="dxa"/>
            <w:tcBorders>
              <w:top w:val="single" w:color="000000" w:sz="4" w:space="0"/>
              <w:left w:val="single" w:color="000000" w:sz="4" w:space="0"/>
              <w:bottom w:val="single" w:color="000000" w:sz="4" w:space="0"/>
              <w:right w:val="single" w:color="000000" w:sz="4" w:space="0"/>
            </w:tcBorders>
            <w:noWrap w:val="0"/>
            <w:vAlign w:val="center"/>
          </w:tcPr>
          <w:p w14:paraId="42D139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监督指挥中心互联网专线</w:t>
            </w:r>
          </w:p>
        </w:tc>
        <w:tc>
          <w:tcPr>
            <w:tcW w:w="2485" w:type="dxa"/>
            <w:tcBorders>
              <w:top w:val="single" w:color="000000" w:sz="4" w:space="0"/>
              <w:left w:val="single" w:color="000000" w:sz="4" w:space="0"/>
              <w:bottom w:val="single" w:color="000000" w:sz="4" w:space="0"/>
              <w:right w:val="single" w:color="000000" w:sz="4" w:space="0"/>
            </w:tcBorders>
            <w:noWrap w:val="0"/>
            <w:vAlign w:val="center"/>
          </w:tcPr>
          <w:p w14:paraId="2927EBE2">
            <w:pPr>
              <w:keepNext w:val="0"/>
              <w:keepLines w:val="0"/>
              <w:widowControl/>
              <w:suppressLineNumbers w:val="0"/>
              <w:jc w:val="both"/>
              <w:textAlignment w:val="center"/>
              <w:rPr>
                <w:rFonts w:hint="default" w:ascii="Arial" w:hAnsi="Arial" w:eastAsia="Tahoma" w:cs="Arial"/>
                <w:i w:val="0"/>
                <w:iCs w:val="0"/>
                <w:color w:val="auto"/>
                <w:sz w:val="20"/>
                <w:szCs w:val="20"/>
                <w:u w:val="none"/>
              </w:rPr>
            </w:pPr>
            <w:r>
              <w:rPr>
                <w:rStyle w:val="10"/>
                <w:rFonts w:eastAsia="Tahoma"/>
                <w:color w:val="auto"/>
                <w:u w:val="none"/>
                <w:lang w:val="en-US" w:eastAsia="zh-CN" w:bidi="ar"/>
              </w:rPr>
              <w:t>150M</w:t>
            </w:r>
            <w:r>
              <w:rPr>
                <w:rStyle w:val="11"/>
                <w:color w:val="auto"/>
                <w:u w:val="none"/>
                <w:lang w:val="en-US" w:eastAsia="zh-CN" w:bidi="ar"/>
              </w:rPr>
              <w:t>互联网专线，用于指挥大厅访问服务</w:t>
            </w:r>
          </w:p>
        </w:tc>
        <w:tc>
          <w:tcPr>
            <w:tcW w:w="688" w:type="dxa"/>
            <w:tcBorders>
              <w:top w:val="single" w:color="000000" w:sz="4" w:space="0"/>
              <w:left w:val="single" w:color="000000" w:sz="4" w:space="0"/>
              <w:bottom w:val="single" w:color="000000" w:sz="4" w:space="0"/>
              <w:right w:val="single" w:color="000000" w:sz="4" w:space="0"/>
            </w:tcBorders>
            <w:noWrap w:val="0"/>
            <w:vAlign w:val="center"/>
          </w:tcPr>
          <w:p w14:paraId="6EDDC5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w:t>
            </w:r>
          </w:p>
        </w:tc>
        <w:tc>
          <w:tcPr>
            <w:tcW w:w="716" w:type="dxa"/>
            <w:tcBorders>
              <w:top w:val="single" w:color="000000" w:sz="4" w:space="0"/>
              <w:left w:val="single" w:color="000000" w:sz="4" w:space="0"/>
              <w:bottom w:val="single" w:color="000000" w:sz="4" w:space="0"/>
              <w:right w:val="single" w:color="000000" w:sz="4" w:space="0"/>
            </w:tcBorders>
            <w:noWrap w:val="0"/>
            <w:vAlign w:val="center"/>
          </w:tcPr>
          <w:p w14:paraId="461D6CA1">
            <w:pPr>
              <w:keepNext w:val="0"/>
              <w:keepLines w:val="0"/>
              <w:widowControl/>
              <w:suppressLineNumbers w:val="0"/>
              <w:jc w:val="center"/>
              <w:textAlignment w:val="center"/>
              <w:rPr>
                <w:rFonts w:hint="default" w:ascii="Arial" w:hAnsi="Arial" w:eastAsia="Tahoma" w:cs="Arial"/>
                <w:i w:val="0"/>
                <w:iCs w:val="0"/>
                <w:color w:val="000000"/>
                <w:sz w:val="20"/>
                <w:szCs w:val="20"/>
                <w:u w:val="none"/>
              </w:rPr>
            </w:pPr>
            <w:r>
              <w:rPr>
                <w:rFonts w:hint="default" w:ascii="Arial" w:hAnsi="Arial" w:eastAsia="Tahoma" w:cs="Arial"/>
                <w:i w:val="0"/>
                <w:iCs w:val="0"/>
                <w:color w:val="000000"/>
                <w:kern w:val="0"/>
                <w:sz w:val="20"/>
                <w:szCs w:val="20"/>
                <w:u w:val="none"/>
                <w:lang w:val="en-US" w:eastAsia="zh-CN" w:bidi="ar"/>
              </w:rPr>
              <w:t>1</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66736B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条</w:t>
            </w:r>
          </w:p>
        </w:tc>
        <w:tc>
          <w:tcPr>
            <w:tcW w:w="2218" w:type="dxa"/>
            <w:tcBorders>
              <w:top w:val="single" w:color="000000" w:sz="4" w:space="0"/>
              <w:left w:val="single" w:color="000000" w:sz="4" w:space="0"/>
              <w:bottom w:val="single" w:color="000000" w:sz="4" w:space="0"/>
              <w:right w:val="single" w:color="000000" w:sz="4" w:space="0"/>
            </w:tcBorders>
            <w:noWrap w:val="0"/>
            <w:vAlign w:val="center"/>
          </w:tcPr>
          <w:p w14:paraId="225C38DE">
            <w:pPr>
              <w:jc w:val="center"/>
              <w:rPr>
                <w:rFonts w:hint="default" w:ascii="Arial" w:hAnsi="Arial" w:eastAsia="Tahoma" w:cs="Arial"/>
                <w:i w:val="0"/>
                <w:iCs w:val="0"/>
                <w:color w:val="000000"/>
                <w:sz w:val="20"/>
                <w:szCs w:val="20"/>
                <w:u w:val="none"/>
              </w:rPr>
            </w:pPr>
          </w:p>
        </w:tc>
      </w:tr>
      <w:tr w14:paraId="6E2861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671" w:type="dxa"/>
            <w:tcBorders>
              <w:top w:val="single" w:color="000000" w:sz="4" w:space="0"/>
              <w:left w:val="single" w:color="000000" w:sz="4" w:space="0"/>
              <w:bottom w:val="single" w:color="000000" w:sz="4" w:space="0"/>
              <w:right w:val="single" w:color="000000" w:sz="4" w:space="0"/>
            </w:tcBorders>
            <w:noWrap w:val="0"/>
            <w:vAlign w:val="center"/>
          </w:tcPr>
          <w:p w14:paraId="3B81D897">
            <w:pPr>
              <w:keepNext w:val="0"/>
              <w:keepLines w:val="0"/>
              <w:widowControl/>
              <w:suppressLineNumbers w:val="0"/>
              <w:jc w:val="center"/>
              <w:textAlignment w:val="center"/>
              <w:rPr>
                <w:rFonts w:hint="default" w:ascii="Arial" w:hAnsi="Arial" w:eastAsia="Tahoma" w:cs="Arial"/>
                <w:i w:val="0"/>
                <w:iCs w:val="0"/>
                <w:color w:val="000000"/>
                <w:sz w:val="20"/>
                <w:szCs w:val="20"/>
                <w:u w:val="none"/>
              </w:rPr>
            </w:pPr>
            <w:r>
              <w:rPr>
                <w:rFonts w:hint="default" w:ascii="Arial" w:hAnsi="Arial" w:eastAsia="Tahoma" w:cs="Arial"/>
                <w:i w:val="0"/>
                <w:iCs w:val="0"/>
                <w:color w:val="000000"/>
                <w:kern w:val="0"/>
                <w:sz w:val="20"/>
                <w:szCs w:val="20"/>
                <w:u w:val="none"/>
                <w:lang w:val="en-US" w:eastAsia="zh-CN" w:bidi="ar"/>
              </w:rPr>
              <w:t>2</w:t>
            </w:r>
          </w:p>
        </w:tc>
        <w:tc>
          <w:tcPr>
            <w:tcW w:w="1500" w:type="dxa"/>
            <w:tcBorders>
              <w:top w:val="single" w:color="000000" w:sz="4" w:space="0"/>
              <w:left w:val="single" w:color="000000" w:sz="4" w:space="0"/>
              <w:bottom w:val="single" w:color="000000" w:sz="4" w:space="0"/>
              <w:right w:val="single" w:color="000000" w:sz="4" w:space="0"/>
            </w:tcBorders>
            <w:noWrap w:val="0"/>
            <w:vAlign w:val="center"/>
          </w:tcPr>
          <w:p w14:paraId="73ED66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监督指挥中心专线</w:t>
            </w:r>
          </w:p>
        </w:tc>
        <w:tc>
          <w:tcPr>
            <w:tcW w:w="2485" w:type="dxa"/>
            <w:tcBorders>
              <w:top w:val="single" w:color="000000" w:sz="4" w:space="0"/>
              <w:left w:val="single" w:color="000000" w:sz="4" w:space="0"/>
              <w:bottom w:val="single" w:color="000000" w:sz="4" w:space="0"/>
              <w:right w:val="single" w:color="000000" w:sz="4" w:space="0"/>
            </w:tcBorders>
            <w:noWrap w:val="0"/>
            <w:vAlign w:val="center"/>
          </w:tcPr>
          <w:p w14:paraId="14C0CB70">
            <w:pPr>
              <w:keepNext w:val="0"/>
              <w:keepLines w:val="0"/>
              <w:widowControl/>
              <w:suppressLineNumbers w:val="0"/>
              <w:jc w:val="both"/>
              <w:textAlignment w:val="center"/>
              <w:rPr>
                <w:rFonts w:hint="default" w:ascii="Arial" w:hAnsi="Arial" w:eastAsia="Tahoma" w:cs="Arial"/>
                <w:i w:val="0"/>
                <w:iCs w:val="0"/>
                <w:color w:val="auto"/>
                <w:sz w:val="20"/>
                <w:szCs w:val="20"/>
                <w:u w:val="none"/>
              </w:rPr>
            </w:pPr>
            <w:r>
              <w:rPr>
                <w:rStyle w:val="10"/>
                <w:rFonts w:eastAsia="Tahoma"/>
                <w:color w:val="auto"/>
                <w:u w:val="none"/>
                <w:lang w:val="en-US" w:eastAsia="zh-CN" w:bidi="ar"/>
              </w:rPr>
              <w:t>100M</w:t>
            </w:r>
            <w:r>
              <w:rPr>
                <w:rFonts w:ascii="方正书宋_GBK" w:hAnsi="方正书宋_GBK" w:eastAsia="方正书宋_GBK" w:cs="方正书宋_GBK"/>
                <w:i w:val="0"/>
                <w:iCs w:val="0"/>
                <w:color w:val="auto"/>
                <w:kern w:val="0"/>
                <w:sz w:val="20"/>
                <w:szCs w:val="20"/>
                <w:u w:val="none"/>
                <w:lang w:val="en-US" w:eastAsia="zh-CN" w:bidi="ar"/>
              </w:rPr>
              <w:t>数据</w:t>
            </w:r>
            <w:r>
              <w:rPr>
                <w:rStyle w:val="11"/>
                <w:color w:val="auto"/>
                <w:u w:val="none"/>
                <w:lang w:val="en-US" w:eastAsia="zh-CN" w:bidi="ar"/>
              </w:rPr>
              <w:t>专线用于接入</w:t>
            </w:r>
            <w:r>
              <w:rPr>
                <w:rStyle w:val="10"/>
                <w:rFonts w:eastAsia="Tahoma"/>
                <w:color w:val="auto"/>
                <w:u w:val="none"/>
                <w:lang w:val="en-US" w:eastAsia="zh-CN" w:bidi="ar"/>
              </w:rPr>
              <w:t>16</w:t>
            </w:r>
            <w:r>
              <w:rPr>
                <w:rStyle w:val="11"/>
                <w:color w:val="auto"/>
                <w:u w:val="none"/>
                <w:lang w:val="en-US" w:eastAsia="zh-CN" w:bidi="ar"/>
              </w:rPr>
              <w:t>个分平台应用访问</w:t>
            </w:r>
          </w:p>
        </w:tc>
        <w:tc>
          <w:tcPr>
            <w:tcW w:w="688" w:type="dxa"/>
            <w:tcBorders>
              <w:top w:val="single" w:color="000000" w:sz="4" w:space="0"/>
              <w:left w:val="single" w:color="000000" w:sz="4" w:space="0"/>
              <w:bottom w:val="single" w:color="000000" w:sz="4" w:space="0"/>
              <w:right w:val="single" w:color="000000" w:sz="4" w:space="0"/>
            </w:tcBorders>
            <w:noWrap w:val="0"/>
            <w:vAlign w:val="center"/>
          </w:tcPr>
          <w:p w14:paraId="2DDA91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w:t>
            </w:r>
          </w:p>
        </w:tc>
        <w:tc>
          <w:tcPr>
            <w:tcW w:w="716" w:type="dxa"/>
            <w:tcBorders>
              <w:top w:val="single" w:color="000000" w:sz="4" w:space="0"/>
              <w:left w:val="single" w:color="000000" w:sz="4" w:space="0"/>
              <w:bottom w:val="single" w:color="000000" w:sz="4" w:space="0"/>
              <w:right w:val="single" w:color="000000" w:sz="4" w:space="0"/>
            </w:tcBorders>
            <w:noWrap w:val="0"/>
            <w:vAlign w:val="center"/>
          </w:tcPr>
          <w:p w14:paraId="6C27B068">
            <w:pPr>
              <w:keepNext w:val="0"/>
              <w:keepLines w:val="0"/>
              <w:widowControl/>
              <w:suppressLineNumbers w:val="0"/>
              <w:jc w:val="center"/>
              <w:textAlignment w:val="center"/>
              <w:rPr>
                <w:rFonts w:hint="default" w:ascii="Arial" w:hAnsi="Arial" w:eastAsia="Tahoma" w:cs="Arial"/>
                <w:i w:val="0"/>
                <w:iCs w:val="0"/>
                <w:color w:val="000000"/>
                <w:sz w:val="20"/>
                <w:szCs w:val="20"/>
                <w:u w:val="none"/>
              </w:rPr>
            </w:pPr>
            <w:r>
              <w:rPr>
                <w:rFonts w:hint="default" w:ascii="Arial" w:hAnsi="Arial" w:eastAsia="Tahoma" w:cs="Arial"/>
                <w:i w:val="0"/>
                <w:iCs w:val="0"/>
                <w:color w:val="000000"/>
                <w:kern w:val="0"/>
                <w:sz w:val="20"/>
                <w:szCs w:val="20"/>
                <w:u w:val="none"/>
                <w:lang w:val="en-US" w:eastAsia="zh-CN" w:bidi="ar"/>
              </w:rPr>
              <w:t>1</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02A8CA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条</w:t>
            </w:r>
          </w:p>
        </w:tc>
        <w:tc>
          <w:tcPr>
            <w:tcW w:w="2218" w:type="dxa"/>
            <w:tcBorders>
              <w:top w:val="single" w:color="000000" w:sz="4" w:space="0"/>
              <w:left w:val="single" w:color="000000" w:sz="4" w:space="0"/>
              <w:bottom w:val="single" w:color="000000" w:sz="4" w:space="0"/>
              <w:right w:val="single" w:color="000000" w:sz="4" w:space="0"/>
            </w:tcBorders>
            <w:noWrap w:val="0"/>
            <w:vAlign w:val="center"/>
          </w:tcPr>
          <w:p w14:paraId="273A2E8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满足现有16个分平台应用访问</w:t>
            </w:r>
          </w:p>
        </w:tc>
      </w:tr>
      <w:tr w14:paraId="73EDB1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671" w:type="dxa"/>
            <w:tcBorders>
              <w:top w:val="single" w:color="000000" w:sz="4" w:space="0"/>
              <w:left w:val="single" w:color="000000" w:sz="4" w:space="0"/>
              <w:bottom w:val="single" w:color="000000" w:sz="4" w:space="0"/>
              <w:right w:val="single" w:color="000000" w:sz="4" w:space="0"/>
            </w:tcBorders>
            <w:noWrap w:val="0"/>
            <w:vAlign w:val="center"/>
          </w:tcPr>
          <w:p w14:paraId="4B3351E9">
            <w:pPr>
              <w:keepNext w:val="0"/>
              <w:keepLines w:val="0"/>
              <w:widowControl/>
              <w:suppressLineNumbers w:val="0"/>
              <w:jc w:val="center"/>
              <w:textAlignment w:val="center"/>
              <w:rPr>
                <w:rFonts w:hint="default" w:ascii="Arial" w:hAnsi="Arial" w:eastAsia="Tahoma" w:cs="Arial"/>
                <w:i w:val="0"/>
                <w:iCs w:val="0"/>
                <w:color w:val="000000"/>
                <w:sz w:val="20"/>
                <w:szCs w:val="20"/>
                <w:u w:val="none"/>
              </w:rPr>
            </w:pPr>
            <w:r>
              <w:rPr>
                <w:rFonts w:hint="default" w:ascii="Arial" w:hAnsi="Arial" w:eastAsia="Tahoma" w:cs="Arial"/>
                <w:i w:val="0"/>
                <w:iCs w:val="0"/>
                <w:color w:val="000000"/>
                <w:kern w:val="0"/>
                <w:sz w:val="20"/>
                <w:szCs w:val="20"/>
                <w:u w:val="none"/>
                <w:lang w:val="en-US" w:eastAsia="zh-CN" w:bidi="ar"/>
              </w:rPr>
              <w:t>3</w:t>
            </w:r>
          </w:p>
        </w:tc>
        <w:tc>
          <w:tcPr>
            <w:tcW w:w="1500" w:type="dxa"/>
            <w:tcBorders>
              <w:top w:val="single" w:color="000000" w:sz="4" w:space="0"/>
              <w:left w:val="single" w:color="000000" w:sz="4" w:space="0"/>
              <w:bottom w:val="single" w:color="000000" w:sz="4" w:space="0"/>
              <w:right w:val="single" w:color="000000" w:sz="4" w:space="0"/>
            </w:tcBorders>
            <w:noWrap w:val="0"/>
            <w:vAlign w:val="center"/>
          </w:tcPr>
          <w:p w14:paraId="45EE44A8">
            <w:pPr>
              <w:keepNext w:val="0"/>
              <w:keepLines w:val="0"/>
              <w:widowControl/>
              <w:suppressLineNumbers w:val="0"/>
              <w:jc w:val="center"/>
              <w:textAlignment w:val="center"/>
              <w:rPr>
                <w:rFonts w:hint="default" w:ascii="Arial" w:hAnsi="Arial" w:eastAsia="Tahoma" w:cs="Arial"/>
                <w:i w:val="0"/>
                <w:iCs w:val="0"/>
                <w:color w:val="000000"/>
                <w:sz w:val="20"/>
                <w:szCs w:val="20"/>
                <w:u w:val="none"/>
              </w:rPr>
            </w:pPr>
            <w:r>
              <w:rPr>
                <w:rStyle w:val="10"/>
                <w:rFonts w:eastAsia="Tahoma"/>
                <w:u w:val="none"/>
                <w:lang w:val="en-US" w:eastAsia="zh-CN" w:bidi="ar"/>
              </w:rPr>
              <w:t>PDA</w:t>
            </w:r>
            <w:r>
              <w:rPr>
                <w:rStyle w:val="11"/>
                <w:u w:val="none"/>
                <w:lang w:val="en-US" w:eastAsia="zh-CN" w:bidi="ar"/>
              </w:rPr>
              <w:t>专线</w:t>
            </w:r>
          </w:p>
        </w:tc>
        <w:tc>
          <w:tcPr>
            <w:tcW w:w="2485" w:type="dxa"/>
            <w:tcBorders>
              <w:top w:val="single" w:color="000000" w:sz="4" w:space="0"/>
              <w:left w:val="single" w:color="000000" w:sz="4" w:space="0"/>
              <w:bottom w:val="single" w:color="000000" w:sz="4" w:space="0"/>
              <w:right w:val="single" w:color="000000" w:sz="4" w:space="0"/>
            </w:tcBorders>
            <w:noWrap w:val="0"/>
            <w:vAlign w:val="center"/>
          </w:tcPr>
          <w:p w14:paraId="3D0E0AF4">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100M用于443部城管通与指挥中心通讯</w:t>
            </w:r>
          </w:p>
        </w:tc>
        <w:tc>
          <w:tcPr>
            <w:tcW w:w="688" w:type="dxa"/>
            <w:tcBorders>
              <w:top w:val="single" w:color="000000" w:sz="4" w:space="0"/>
              <w:left w:val="single" w:color="000000" w:sz="4" w:space="0"/>
              <w:bottom w:val="single" w:color="000000" w:sz="4" w:space="0"/>
              <w:right w:val="single" w:color="000000" w:sz="4" w:space="0"/>
            </w:tcBorders>
            <w:noWrap w:val="0"/>
            <w:vAlign w:val="center"/>
          </w:tcPr>
          <w:p w14:paraId="202686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w:t>
            </w:r>
          </w:p>
        </w:tc>
        <w:tc>
          <w:tcPr>
            <w:tcW w:w="716" w:type="dxa"/>
            <w:tcBorders>
              <w:top w:val="single" w:color="000000" w:sz="4" w:space="0"/>
              <w:left w:val="single" w:color="000000" w:sz="4" w:space="0"/>
              <w:bottom w:val="single" w:color="000000" w:sz="4" w:space="0"/>
              <w:right w:val="single" w:color="000000" w:sz="4" w:space="0"/>
            </w:tcBorders>
            <w:noWrap w:val="0"/>
            <w:vAlign w:val="center"/>
          </w:tcPr>
          <w:p w14:paraId="53311C62">
            <w:pPr>
              <w:keepNext w:val="0"/>
              <w:keepLines w:val="0"/>
              <w:widowControl/>
              <w:suppressLineNumbers w:val="0"/>
              <w:jc w:val="center"/>
              <w:textAlignment w:val="center"/>
              <w:rPr>
                <w:rFonts w:hint="default" w:ascii="Arial" w:hAnsi="Arial" w:eastAsia="Tahoma" w:cs="Arial"/>
                <w:i w:val="0"/>
                <w:iCs w:val="0"/>
                <w:color w:val="000000"/>
                <w:sz w:val="20"/>
                <w:szCs w:val="20"/>
                <w:u w:val="none"/>
              </w:rPr>
            </w:pPr>
            <w:r>
              <w:rPr>
                <w:rFonts w:hint="default" w:ascii="Arial" w:hAnsi="Arial" w:eastAsia="Tahoma" w:cs="Arial"/>
                <w:i w:val="0"/>
                <w:iCs w:val="0"/>
                <w:color w:val="000000"/>
                <w:kern w:val="0"/>
                <w:sz w:val="20"/>
                <w:szCs w:val="20"/>
                <w:u w:val="none"/>
                <w:lang w:val="en-US" w:eastAsia="zh-CN" w:bidi="ar"/>
              </w:rPr>
              <w:t>1</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60A6F9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条</w:t>
            </w:r>
          </w:p>
        </w:tc>
        <w:tc>
          <w:tcPr>
            <w:tcW w:w="2218" w:type="dxa"/>
            <w:tcBorders>
              <w:top w:val="single" w:color="000000" w:sz="4" w:space="0"/>
              <w:left w:val="single" w:color="000000" w:sz="4" w:space="0"/>
              <w:bottom w:val="single" w:color="000000" w:sz="4" w:space="0"/>
              <w:right w:val="single" w:color="000000" w:sz="4" w:space="0"/>
            </w:tcBorders>
            <w:noWrap w:val="0"/>
            <w:vAlign w:val="center"/>
          </w:tcPr>
          <w:p w14:paraId="667F47C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满足443部城管通VPN通讯业务</w:t>
            </w:r>
          </w:p>
        </w:tc>
      </w:tr>
      <w:tr w14:paraId="7D34B0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671" w:type="dxa"/>
            <w:tcBorders>
              <w:top w:val="single" w:color="000000" w:sz="4" w:space="0"/>
              <w:left w:val="single" w:color="000000" w:sz="4" w:space="0"/>
              <w:bottom w:val="single" w:color="000000" w:sz="4" w:space="0"/>
              <w:right w:val="single" w:color="000000" w:sz="4" w:space="0"/>
            </w:tcBorders>
            <w:noWrap w:val="0"/>
            <w:vAlign w:val="center"/>
          </w:tcPr>
          <w:p w14:paraId="7E70543D">
            <w:pPr>
              <w:keepNext w:val="0"/>
              <w:keepLines w:val="0"/>
              <w:widowControl/>
              <w:suppressLineNumbers w:val="0"/>
              <w:jc w:val="center"/>
              <w:textAlignment w:val="center"/>
              <w:rPr>
                <w:rFonts w:hint="default" w:ascii="Arial" w:hAnsi="Arial" w:eastAsia="Tahoma" w:cs="Arial"/>
                <w:i w:val="0"/>
                <w:iCs w:val="0"/>
                <w:color w:val="000000"/>
                <w:sz w:val="20"/>
                <w:szCs w:val="20"/>
                <w:u w:val="none"/>
              </w:rPr>
            </w:pPr>
            <w:r>
              <w:rPr>
                <w:rFonts w:hint="default" w:ascii="Arial" w:hAnsi="Arial" w:eastAsia="Tahoma" w:cs="Arial"/>
                <w:i w:val="0"/>
                <w:iCs w:val="0"/>
                <w:color w:val="000000"/>
                <w:kern w:val="0"/>
                <w:sz w:val="20"/>
                <w:szCs w:val="20"/>
                <w:u w:val="none"/>
                <w:lang w:val="en-US" w:eastAsia="zh-CN" w:bidi="ar"/>
              </w:rPr>
              <w:t>4</w:t>
            </w:r>
          </w:p>
        </w:tc>
        <w:tc>
          <w:tcPr>
            <w:tcW w:w="1500" w:type="dxa"/>
            <w:tcBorders>
              <w:top w:val="single" w:color="000000" w:sz="4" w:space="0"/>
              <w:left w:val="single" w:color="000000" w:sz="4" w:space="0"/>
              <w:bottom w:val="single" w:color="000000" w:sz="4" w:space="0"/>
              <w:right w:val="single" w:color="000000" w:sz="4" w:space="0"/>
            </w:tcBorders>
            <w:noWrap w:val="0"/>
            <w:vAlign w:val="center"/>
          </w:tcPr>
          <w:p w14:paraId="79BDCA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对讲机平台专线</w:t>
            </w:r>
          </w:p>
        </w:tc>
        <w:tc>
          <w:tcPr>
            <w:tcW w:w="2485" w:type="dxa"/>
            <w:tcBorders>
              <w:top w:val="single" w:color="000000" w:sz="4" w:space="0"/>
              <w:left w:val="single" w:color="000000" w:sz="4" w:space="0"/>
              <w:bottom w:val="single" w:color="000000" w:sz="4" w:space="0"/>
              <w:right w:val="single" w:color="000000" w:sz="4" w:space="0"/>
            </w:tcBorders>
            <w:noWrap w:val="0"/>
            <w:vAlign w:val="center"/>
          </w:tcPr>
          <w:p w14:paraId="25594F03">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50M用于对讲机平台与对讲机的通讯</w:t>
            </w:r>
          </w:p>
        </w:tc>
        <w:tc>
          <w:tcPr>
            <w:tcW w:w="688" w:type="dxa"/>
            <w:tcBorders>
              <w:top w:val="single" w:color="000000" w:sz="4" w:space="0"/>
              <w:left w:val="single" w:color="000000" w:sz="4" w:space="0"/>
              <w:bottom w:val="single" w:color="000000" w:sz="4" w:space="0"/>
              <w:right w:val="single" w:color="000000" w:sz="4" w:space="0"/>
            </w:tcBorders>
            <w:noWrap w:val="0"/>
            <w:vAlign w:val="center"/>
          </w:tcPr>
          <w:p w14:paraId="01B94B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w:t>
            </w:r>
          </w:p>
        </w:tc>
        <w:tc>
          <w:tcPr>
            <w:tcW w:w="716" w:type="dxa"/>
            <w:tcBorders>
              <w:top w:val="single" w:color="000000" w:sz="4" w:space="0"/>
              <w:left w:val="single" w:color="000000" w:sz="4" w:space="0"/>
              <w:bottom w:val="single" w:color="000000" w:sz="4" w:space="0"/>
              <w:right w:val="single" w:color="000000" w:sz="4" w:space="0"/>
            </w:tcBorders>
            <w:noWrap w:val="0"/>
            <w:vAlign w:val="center"/>
          </w:tcPr>
          <w:p w14:paraId="1EF3A70E">
            <w:pPr>
              <w:keepNext w:val="0"/>
              <w:keepLines w:val="0"/>
              <w:widowControl/>
              <w:suppressLineNumbers w:val="0"/>
              <w:jc w:val="center"/>
              <w:textAlignment w:val="center"/>
              <w:rPr>
                <w:rFonts w:hint="default" w:ascii="Arial" w:hAnsi="Arial" w:eastAsia="Tahoma" w:cs="Arial"/>
                <w:i w:val="0"/>
                <w:iCs w:val="0"/>
                <w:color w:val="000000"/>
                <w:sz w:val="20"/>
                <w:szCs w:val="20"/>
                <w:u w:val="none"/>
              </w:rPr>
            </w:pPr>
            <w:r>
              <w:rPr>
                <w:rFonts w:hint="default" w:ascii="Arial" w:hAnsi="Arial" w:eastAsia="Tahoma" w:cs="Arial"/>
                <w:i w:val="0"/>
                <w:iCs w:val="0"/>
                <w:color w:val="000000"/>
                <w:kern w:val="0"/>
                <w:sz w:val="20"/>
                <w:szCs w:val="20"/>
                <w:u w:val="none"/>
                <w:lang w:val="en-US" w:eastAsia="zh-CN" w:bidi="ar"/>
              </w:rPr>
              <w:t>1</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373D97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条</w:t>
            </w:r>
          </w:p>
        </w:tc>
        <w:tc>
          <w:tcPr>
            <w:tcW w:w="2218" w:type="dxa"/>
            <w:tcBorders>
              <w:top w:val="single" w:color="000000" w:sz="4" w:space="0"/>
              <w:left w:val="single" w:color="000000" w:sz="4" w:space="0"/>
              <w:bottom w:val="single" w:color="000000" w:sz="4" w:space="0"/>
              <w:right w:val="single" w:color="000000" w:sz="4" w:space="0"/>
            </w:tcBorders>
            <w:noWrap w:val="0"/>
            <w:vAlign w:val="center"/>
          </w:tcPr>
          <w:p w14:paraId="4C261D2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满足现有422部对讲机通讯业务</w:t>
            </w:r>
          </w:p>
        </w:tc>
      </w:tr>
      <w:tr w14:paraId="294036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5" w:hRule="atLeast"/>
        </w:trPr>
        <w:tc>
          <w:tcPr>
            <w:tcW w:w="671" w:type="dxa"/>
            <w:tcBorders>
              <w:top w:val="single" w:color="000000" w:sz="4" w:space="0"/>
              <w:left w:val="single" w:color="000000" w:sz="4" w:space="0"/>
              <w:bottom w:val="single" w:color="000000" w:sz="4" w:space="0"/>
              <w:right w:val="single" w:color="000000" w:sz="4" w:space="0"/>
            </w:tcBorders>
            <w:noWrap w:val="0"/>
            <w:vAlign w:val="center"/>
          </w:tcPr>
          <w:p w14:paraId="345EC33F">
            <w:pPr>
              <w:keepNext w:val="0"/>
              <w:keepLines w:val="0"/>
              <w:widowControl/>
              <w:suppressLineNumbers w:val="0"/>
              <w:jc w:val="center"/>
              <w:textAlignment w:val="center"/>
              <w:rPr>
                <w:rFonts w:hint="default" w:ascii="Arial" w:hAnsi="Arial" w:eastAsia="Tahoma" w:cs="Arial"/>
                <w:i w:val="0"/>
                <w:iCs w:val="0"/>
                <w:color w:val="000000"/>
                <w:sz w:val="20"/>
                <w:szCs w:val="20"/>
                <w:u w:val="none"/>
              </w:rPr>
            </w:pPr>
            <w:r>
              <w:rPr>
                <w:rFonts w:hint="default" w:ascii="Arial" w:hAnsi="Arial" w:eastAsia="Tahoma" w:cs="Arial"/>
                <w:i w:val="0"/>
                <w:iCs w:val="0"/>
                <w:color w:val="000000"/>
                <w:kern w:val="0"/>
                <w:sz w:val="20"/>
                <w:szCs w:val="20"/>
                <w:u w:val="none"/>
                <w:lang w:val="en-US" w:eastAsia="zh-CN" w:bidi="ar"/>
              </w:rPr>
              <w:t>5</w:t>
            </w:r>
          </w:p>
        </w:tc>
        <w:tc>
          <w:tcPr>
            <w:tcW w:w="1500" w:type="dxa"/>
            <w:tcBorders>
              <w:top w:val="single" w:color="000000" w:sz="4" w:space="0"/>
              <w:left w:val="single" w:color="000000" w:sz="4" w:space="0"/>
              <w:bottom w:val="single" w:color="000000" w:sz="4" w:space="0"/>
              <w:right w:val="single" w:color="000000" w:sz="4" w:space="0"/>
            </w:tcBorders>
            <w:noWrap w:val="0"/>
            <w:vAlign w:val="center"/>
          </w:tcPr>
          <w:p w14:paraId="1A478F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防火墙</w:t>
            </w:r>
          </w:p>
        </w:tc>
        <w:tc>
          <w:tcPr>
            <w:tcW w:w="2485" w:type="dxa"/>
            <w:tcBorders>
              <w:top w:val="single" w:color="000000" w:sz="4" w:space="0"/>
              <w:left w:val="single" w:color="000000" w:sz="4" w:space="0"/>
              <w:bottom w:val="single" w:color="000000" w:sz="4" w:space="0"/>
              <w:right w:val="single" w:color="000000" w:sz="4" w:space="0"/>
            </w:tcBorders>
            <w:noWrap w:val="0"/>
            <w:vAlign w:val="center"/>
          </w:tcPr>
          <w:p w14:paraId="59DD3B23">
            <w:pPr>
              <w:keepNext w:val="0"/>
              <w:keepLines w:val="0"/>
              <w:widowControl/>
              <w:suppressLineNumbers w:val="0"/>
              <w:jc w:val="both"/>
              <w:textAlignment w:val="center"/>
              <w:rPr>
                <w:rFonts w:hint="default" w:ascii="Arial" w:hAnsi="Arial" w:eastAsia="Tahoma" w:cs="Arial"/>
                <w:i w:val="0"/>
                <w:iCs w:val="0"/>
                <w:color w:val="auto"/>
                <w:sz w:val="20"/>
                <w:szCs w:val="20"/>
                <w:u w:val="none"/>
              </w:rPr>
            </w:pPr>
            <w:r>
              <w:rPr>
                <w:rFonts w:hint="default" w:ascii="Arial" w:hAnsi="Arial" w:eastAsia="Tahoma" w:cs="Arial"/>
                <w:i w:val="0"/>
                <w:iCs w:val="0"/>
                <w:color w:val="auto"/>
                <w:sz w:val="20"/>
                <w:szCs w:val="20"/>
                <w:u w:val="none"/>
              </w:rPr>
              <w:t>接口：2*GE WAN+8*GE Combo+2*10GE SFP;吞吐量：2G;最大用户数：500；含AV、IPS特征库、URL远程升级等功能。</w:t>
            </w:r>
          </w:p>
        </w:tc>
        <w:tc>
          <w:tcPr>
            <w:tcW w:w="688" w:type="dxa"/>
            <w:tcBorders>
              <w:top w:val="single" w:color="000000" w:sz="4" w:space="0"/>
              <w:left w:val="single" w:color="000000" w:sz="4" w:space="0"/>
              <w:bottom w:val="single" w:color="000000" w:sz="4" w:space="0"/>
              <w:right w:val="single" w:color="000000" w:sz="4" w:space="0"/>
            </w:tcBorders>
            <w:noWrap w:val="0"/>
            <w:vAlign w:val="center"/>
          </w:tcPr>
          <w:p w14:paraId="139A86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w:t>
            </w:r>
          </w:p>
        </w:tc>
        <w:tc>
          <w:tcPr>
            <w:tcW w:w="716" w:type="dxa"/>
            <w:tcBorders>
              <w:top w:val="single" w:color="000000" w:sz="4" w:space="0"/>
              <w:left w:val="single" w:color="000000" w:sz="4" w:space="0"/>
              <w:bottom w:val="single" w:color="000000" w:sz="4" w:space="0"/>
              <w:right w:val="single" w:color="000000" w:sz="4" w:space="0"/>
            </w:tcBorders>
            <w:noWrap w:val="0"/>
            <w:vAlign w:val="center"/>
          </w:tcPr>
          <w:p w14:paraId="0B3ABBE0">
            <w:pPr>
              <w:keepNext w:val="0"/>
              <w:keepLines w:val="0"/>
              <w:widowControl/>
              <w:suppressLineNumbers w:val="0"/>
              <w:jc w:val="center"/>
              <w:textAlignment w:val="center"/>
              <w:rPr>
                <w:rFonts w:hint="default" w:ascii="Arial" w:hAnsi="Arial" w:eastAsia="Tahoma" w:cs="Arial"/>
                <w:i w:val="0"/>
                <w:iCs w:val="0"/>
                <w:color w:val="000000"/>
                <w:sz w:val="20"/>
                <w:szCs w:val="20"/>
                <w:u w:val="none"/>
              </w:rPr>
            </w:pPr>
            <w:r>
              <w:rPr>
                <w:rFonts w:hint="default" w:ascii="Arial" w:hAnsi="Arial" w:eastAsia="Tahoma" w:cs="Arial"/>
                <w:i w:val="0"/>
                <w:iCs w:val="0"/>
                <w:color w:val="000000"/>
                <w:kern w:val="0"/>
                <w:sz w:val="20"/>
                <w:szCs w:val="20"/>
                <w:u w:val="none"/>
                <w:lang w:val="en-US" w:eastAsia="zh-CN" w:bidi="ar"/>
              </w:rPr>
              <w:t>1</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7BBBF0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2218" w:type="dxa"/>
            <w:tcBorders>
              <w:top w:val="single" w:color="000000" w:sz="4" w:space="0"/>
              <w:left w:val="single" w:color="000000" w:sz="4" w:space="0"/>
              <w:bottom w:val="single" w:color="000000" w:sz="4" w:space="0"/>
              <w:right w:val="single" w:color="000000" w:sz="4" w:space="0"/>
            </w:tcBorders>
            <w:noWrap w:val="0"/>
            <w:vAlign w:val="center"/>
          </w:tcPr>
          <w:p w14:paraId="10AED55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维护该设备正常运转</w:t>
            </w:r>
          </w:p>
        </w:tc>
      </w:tr>
      <w:tr w14:paraId="4F24EF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trPr>
        <w:tc>
          <w:tcPr>
            <w:tcW w:w="671" w:type="dxa"/>
            <w:tcBorders>
              <w:top w:val="single" w:color="000000" w:sz="4" w:space="0"/>
              <w:left w:val="single" w:color="000000" w:sz="4" w:space="0"/>
              <w:bottom w:val="single" w:color="000000" w:sz="4" w:space="0"/>
              <w:right w:val="single" w:color="000000" w:sz="4" w:space="0"/>
            </w:tcBorders>
            <w:noWrap w:val="0"/>
            <w:vAlign w:val="center"/>
          </w:tcPr>
          <w:p w14:paraId="31EF5B9B">
            <w:pPr>
              <w:keepNext w:val="0"/>
              <w:keepLines w:val="0"/>
              <w:widowControl/>
              <w:suppressLineNumbers w:val="0"/>
              <w:jc w:val="center"/>
              <w:textAlignment w:val="center"/>
              <w:rPr>
                <w:rFonts w:hint="default" w:ascii="Arial" w:hAnsi="Arial" w:eastAsia="Tahoma" w:cs="Arial"/>
                <w:i w:val="0"/>
                <w:iCs w:val="0"/>
                <w:color w:val="000000"/>
                <w:sz w:val="20"/>
                <w:szCs w:val="20"/>
                <w:u w:val="none"/>
              </w:rPr>
            </w:pPr>
            <w:r>
              <w:rPr>
                <w:rFonts w:hint="default" w:ascii="Arial" w:hAnsi="Arial" w:eastAsia="Tahoma" w:cs="Arial"/>
                <w:i w:val="0"/>
                <w:iCs w:val="0"/>
                <w:color w:val="000000"/>
                <w:kern w:val="0"/>
                <w:sz w:val="20"/>
                <w:szCs w:val="20"/>
                <w:u w:val="none"/>
                <w:lang w:val="en-US" w:eastAsia="zh-CN" w:bidi="ar"/>
              </w:rPr>
              <w:t>6</w:t>
            </w:r>
          </w:p>
        </w:tc>
        <w:tc>
          <w:tcPr>
            <w:tcW w:w="1500" w:type="dxa"/>
            <w:tcBorders>
              <w:top w:val="single" w:color="000000" w:sz="4" w:space="0"/>
              <w:left w:val="single" w:color="000000" w:sz="4" w:space="0"/>
              <w:bottom w:val="single" w:color="000000" w:sz="4" w:space="0"/>
              <w:right w:val="single" w:color="000000" w:sz="4" w:space="0"/>
            </w:tcBorders>
            <w:noWrap w:val="0"/>
            <w:vAlign w:val="center"/>
          </w:tcPr>
          <w:p w14:paraId="393FFE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点对点传输线路</w:t>
            </w:r>
          </w:p>
        </w:tc>
        <w:tc>
          <w:tcPr>
            <w:tcW w:w="2485" w:type="dxa"/>
            <w:tcBorders>
              <w:top w:val="single" w:color="000000" w:sz="4" w:space="0"/>
              <w:left w:val="single" w:color="000000" w:sz="4" w:space="0"/>
              <w:bottom w:val="single" w:color="000000" w:sz="4" w:space="0"/>
              <w:right w:val="single" w:color="000000" w:sz="4" w:space="0"/>
            </w:tcBorders>
            <w:noWrap w:val="0"/>
            <w:vAlign w:val="center"/>
          </w:tcPr>
          <w:p w14:paraId="048808F1">
            <w:pPr>
              <w:keepNext w:val="0"/>
              <w:keepLines w:val="0"/>
              <w:widowControl/>
              <w:suppressLineNumbers w:val="0"/>
              <w:jc w:val="both"/>
              <w:textAlignment w:val="center"/>
              <w:rPr>
                <w:rFonts w:hint="eastAsia" w:ascii="宋体" w:hAnsi="宋体" w:eastAsia="宋体" w:cs="宋体"/>
                <w:i w:val="0"/>
                <w:iCs w:val="0"/>
                <w:color w:val="auto"/>
                <w:sz w:val="20"/>
                <w:szCs w:val="20"/>
                <w:u w:val="none"/>
              </w:rPr>
            </w:pPr>
            <w:r>
              <w:rPr>
                <w:rStyle w:val="11"/>
                <w:color w:val="auto"/>
                <w:u w:val="none"/>
                <w:lang w:val="en-US" w:eastAsia="zh-CN" w:bidi="ar"/>
              </w:rPr>
              <w:t>连接指挥中心与</w:t>
            </w:r>
            <w:r>
              <w:rPr>
                <w:rStyle w:val="10"/>
                <w:rFonts w:eastAsia="宋体"/>
                <w:color w:val="auto"/>
                <w:u w:val="none"/>
                <w:lang w:val="en-US" w:eastAsia="zh-CN" w:bidi="ar"/>
              </w:rPr>
              <w:t>16</w:t>
            </w:r>
            <w:r>
              <w:rPr>
                <w:rStyle w:val="11"/>
                <w:color w:val="auto"/>
                <w:u w:val="none"/>
                <w:lang w:val="en-US" w:eastAsia="zh-CN" w:bidi="ar"/>
              </w:rPr>
              <w:t>个分平台系统传输</w:t>
            </w:r>
          </w:p>
        </w:tc>
        <w:tc>
          <w:tcPr>
            <w:tcW w:w="688" w:type="dxa"/>
            <w:tcBorders>
              <w:top w:val="single" w:color="000000" w:sz="4" w:space="0"/>
              <w:left w:val="single" w:color="000000" w:sz="4" w:space="0"/>
              <w:bottom w:val="single" w:color="000000" w:sz="4" w:space="0"/>
              <w:right w:val="single" w:color="000000" w:sz="4" w:space="0"/>
            </w:tcBorders>
            <w:noWrap w:val="0"/>
            <w:vAlign w:val="center"/>
          </w:tcPr>
          <w:p w14:paraId="5B9960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w:t>
            </w:r>
          </w:p>
        </w:tc>
        <w:tc>
          <w:tcPr>
            <w:tcW w:w="716" w:type="dxa"/>
            <w:tcBorders>
              <w:top w:val="single" w:color="000000" w:sz="4" w:space="0"/>
              <w:left w:val="single" w:color="000000" w:sz="4" w:space="0"/>
              <w:bottom w:val="single" w:color="000000" w:sz="4" w:space="0"/>
              <w:right w:val="single" w:color="000000" w:sz="4" w:space="0"/>
            </w:tcBorders>
            <w:noWrap w:val="0"/>
            <w:vAlign w:val="center"/>
          </w:tcPr>
          <w:p w14:paraId="1F6A1838">
            <w:pPr>
              <w:keepNext w:val="0"/>
              <w:keepLines w:val="0"/>
              <w:widowControl/>
              <w:suppressLineNumbers w:val="0"/>
              <w:jc w:val="center"/>
              <w:textAlignment w:val="center"/>
              <w:rPr>
                <w:rFonts w:hint="default" w:ascii="Arial" w:hAnsi="Arial" w:eastAsia="Tahoma" w:cs="Arial"/>
                <w:i w:val="0"/>
                <w:iCs w:val="0"/>
                <w:color w:val="000000"/>
                <w:sz w:val="20"/>
                <w:szCs w:val="20"/>
                <w:u w:val="none"/>
              </w:rPr>
            </w:pPr>
            <w:r>
              <w:rPr>
                <w:rFonts w:hint="default" w:ascii="Arial" w:hAnsi="Arial" w:eastAsia="Tahoma" w:cs="Arial"/>
                <w:i w:val="0"/>
                <w:iCs w:val="0"/>
                <w:color w:val="000000"/>
                <w:kern w:val="0"/>
                <w:sz w:val="20"/>
                <w:szCs w:val="20"/>
                <w:u w:val="none"/>
                <w:lang w:val="en-US" w:eastAsia="zh-CN" w:bidi="ar"/>
              </w:rPr>
              <w:t>16</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2F9D1B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条</w:t>
            </w:r>
          </w:p>
        </w:tc>
        <w:tc>
          <w:tcPr>
            <w:tcW w:w="2218" w:type="dxa"/>
            <w:tcBorders>
              <w:top w:val="single" w:color="000000" w:sz="4" w:space="0"/>
              <w:left w:val="single" w:color="000000" w:sz="4" w:space="0"/>
              <w:bottom w:val="single" w:color="000000" w:sz="4" w:space="0"/>
              <w:right w:val="single" w:color="000000" w:sz="4" w:space="0"/>
            </w:tcBorders>
            <w:noWrap w:val="0"/>
            <w:vAlign w:val="center"/>
          </w:tcPr>
          <w:p w14:paraId="628DD2A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11"/>
                <w:u w:val="none"/>
                <w:lang w:val="en-US" w:eastAsia="zh-CN" w:bidi="ar"/>
              </w:rPr>
              <w:t>带宽</w:t>
            </w:r>
            <w:r>
              <w:rPr>
                <w:rStyle w:val="10"/>
                <w:rFonts w:eastAsia="宋体"/>
                <w:u w:val="none"/>
                <w:lang w:val="en-US" w:eastAsia="zh-CN" w:bidi="ar"/>
              </w:rPr>
              <w:t>4M</w:t>
            </w:r>
            <w:r>
              <w:rPr>
                <w:rStyle w:val="11"/>
                <w:u w:val="none"/>
                <w:lang w:val="en-US" w:eastAsia="zh-CN" w:bidi="ar"/>
              </w:rPr>
              <w:t>及以上?</w:t>
            </w:r>
          </w:p>
        </w:tc>
      </w:tr>
      <w:tr w14:paraId="73ED87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trPr>
        <w:tc>
          <w:tcPr>
            <w:tcW w:w="671" w:type="dxa"/>
            <w:tcBorders>
              <w:top w:val="single" w:color="000000" w:sz="4" w:space="0"/>
              <w:left w:val="single" w:color="000000" w:sz="4" w:space="0"/>
              <w:bottom w:val="single" w:color="000000" w:sz="4" w:space="0"/>
              <w:right w:val="single" w:color="000000" w:sz="4" w:space="0"/>
            </w:tcBorders>
            <w:noWrap w:val="0"/>
            <w:vAlign w:val="center"/>
          </w:tcPr>
          <w:p w14:paraId="1A8F7C9F">
            <w:pPr>
              <w:keepNext w:val="0"/>
              <w:keepLines w:val="0"/>
              <w:widowControl/>
              <w:suppressLineNumbers w:val="0"/>
              <w:jc w:val="center"/>
              <w:textAlignment w:val="center"/>
              <w:rPr>
                <w:rFonts w:hint="default" w:ascii="Arial" w:hAnsi="Arial" w:eastAsia="Tahoma" w:cs="Arial"/>
                <w:i w:val="0"/>
                <w:iCs w:val="0"/>
                <w:color w:val="000000"/>
                <w:sz w:val="20"/>
                <w:szCs w:val="20"/>
                <w:u w:val="none"/>
              </w:rPr>
            </w:pPr>
            <w:r>
              <w:rPr>
                <w:rFonts w:hint="default" w:ascii="Arial" w:hAnsi="Arial" w:eastAsia="Tahoma" w:cs="Arial"/>
                <w:i w:val="0"/>
                <w:iCs w:val="0"/>
                <w:color w:val="000000"/>
                <w:kern w:val="0"/>
                <w:sz w:val="20"/>
                <w:szCs w:val="20"/>
                <w:u w:val="none"/>
                <w:lang w:val="en-US" w:eastAsia="zh-CN" w:bidi="ar"/>
              </w:rPr>
              <w:t>7</w:t>
            </w:r>
          </w:p>
        </w:tc>
        <w:tc>
          <w:tcPr>
            <w:tcW w:w="1500" w:type="dxa"/>
            <w:tcBorders>
              <w:top w:val="single" w:color="000000" w:sz="4" w:space="0"/>
              <w:left w:val="single" w:color="000000" w:sz="4" w:space="0"/>
              <w:bottom w:val="single" w:color="000000" w:sz="4" w:space="0"/>
              <w:right w:val="single" w:color="000000" w:sz="4" w:space="0"/>
            </w:tcBorders>
            <w:noWrap w:val="0"/>
            <w:vAlign w:val="center"/>
          </w:tcPr>
          <w:p w14:paraId="1951A5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点对点传输线路</w:t>
            </w:r>
          </w:p>
        </w:tc>
        <w:tc>
          <w:tcPr>
            <w:tcW w:w="2485" w:type="dxa"/>
            <w:tcBorders>
              <w:top w:val="single" w:color="000000" w:sz="4" w:space="0"/>
              <w:left w:val="single" w:color="000000" w:sz="4" w:space="0"/>
              <w:bottom w:val="single" w:color="000000" w:sz="4" w:space="0"/>
              <w:right w:val="single" w:color="000000" w:sz="4" w:space="0"/>
            </w:tcBorders>
            <w:noWrap w:val="0"/>
            <w:vAlign w:val="center"/>
          </w:tcPr>
          <w:p w14:paraId="4EF1DE18">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Style w:val="11"/>
                <w:u w:val="none"/>
                <w:lang w:val="en-US" w:eastAsia="zh-CN" w:bidi="ar"/>
              </w:rPr>
              <w:t>连接指挥中心与</w:t>
            </w:r>
            <w:r>
              <w:rPr>
                <w:rStyle w:val="10"/>
                <w:rFonts w:eastAsia="宋体"/>
                <w:u w:val="none"/>
                <w:lang w:val="en-US" w:eastAsia="zh-CN" w:bidi="ar"/>
              </w:rPr>
              <w:t>16</w:t>
            </w:r>
            <w:r>
              <w:rPr>
                <w:rStyle w:val="11"/>
                <w:u w:val="none"/>
                <w:lang w:val="en-US" w:eastAsia="zh-CN" w:bidi="ar"/>
              </w:rPr>
              <w:t>个监控点设备的传输</w:t>
            </w:r>
          </w:p>
        </w:tc>
        <w:tc>
          <w:tcPr>
            <w:tcW w:w="688" w:type="dxa"/>
            <w:tcBorders>
              <w:top w:val="single" w:color="000000" w:sz="4" w:space="0"/>
              <w:left w:val="single" w:color="000000" w:sz="4" w:space="0"/>
              <w:bottom w:val="single" w:color="000000" w:sz="4" w:space="0"/>
              <w:right w:val="single" w:color="000000" w:sz="4" w:space="0"/>
            </w:tcBorders>
            <w:noWrap w:val="0"/>
            <w:vAlign w:val="center"/>
          </w:tcPr>
          <w:p w14:paraId="5786F0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w:t>
            </w:r>
          </w:p>
        </w:tc>
        <w:tc>
          <w:tcPr>
            <w:tcW w:w="716" w:type="dxa"/>
            <w:tcBorders>
              <w:top w:val="single" w:color="000000" w:sz="4" w:space="0"/>
              <w:left w:val="single" w:color="000000" w:sz="4" w:space="0"/>
              <w:bottom w:val="single" w:color="000000" w:sz="4" w:space="0"/>
              <w:right w:val="single" w:color="000000" w:sz="4" w:space="0"/>
            </w:tcBorders>
            <w:noWrap w:val="0"/>
            <w:vAlign w:val="center"/>
          </w:tcPr>
          <w:p w14:paraId="63DEE2A9">
            <w:pPr>
              <w:keepNext w:val="0"/>
              <w:keepLines w:val="0"/>
              <w:widowControl/>
              <w:suppressLineNumbers w:val="0"/>
              <w:jc w:val="center"/>
              <w:textAlignment w:val="center"/>
              <w:rPr>
                <w:rFonts w:hint="default" w:ascii="Arial" w:hAnsi="Arial" w:eastAsia="Tahoma" w:cs="Arial"/>
                <w:i w:val="0"/>
                <w:iCs w:val="0"/>
                <w:color w:val="000000"/>
                <w:sz w:val="20"/>
                <w:szCs w:val="20"/>
                <w:u w:val="none"/>
              </w:rPr>
            </w:pPr>
            <w:r>
              <w:rPr>
                <w:rFonts w:hint="default" w:ascii="Arial" w:hAnsi="Arial" w:eastAsia="Tahoma" w:cs="Arial"/>
                <w:i w:val="0"/>
                <w:iCs w:val="0"/>
                <w:color w:val="000000"/>
                <w:kern w:val="0"/>
                <w:sz w:val="20"/>
                <w:szCs w:val="20"/>
                <w:u w:val="none"/>
                <w:lang w:val="en-US" w:eastAsia="zh-CN" w:bidi="ar"/>
              </w:rPr>
              <w:t>16</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53BF8B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条</w:t>
            </w:r>
          </w:p>
        </w:tc>
        <w:tc>
          <w:tcPr>
            <w:tcW w:w="2218" w:type="dxa"/>
            <w:tcBorders>
              <w:top w:val="single" w:color="000000" w:sz="4" w:space="0"/>
              <w:left w:val="single" w:color="000000" w:sz="4" w:space="0"/>
              <w:bottom w:val="single" w:color="000000" w:sz="4" w:space="0"/>
              <w:right w:val="single" w:color="000000" w:sz="4" w:space="0"/>
            </w:tcBorders>
            <w:noWrap w:val="0"/>
            <w:vAlign w:val="center"/>
          </w:tcPr>
          <w:p w14:paraId="264BD38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≥10兆，满足视频流畅传输，不卡顿。</w:t>
            </w:r>
          </w:p>
        </w:tc>
      </w:tr>
      <w:tr w14:paraId="2C2310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trPr>
        <w:tc>
          <w:tcPr>
            <w:tcW w:w="671" w:type="dxa"/>
            <w:tcBorders>
              <w:top w:val="single" w:color="000000" w:sz="4" w:space="0"/>
              <w:left w:val="single" w:color="000000" w:sz="4" w:space="0"/>
              <w:bottom w:val="single" w:color="000000" w:sz="4" w:space="0"/>
              <w:right w:val="single" w:color="000000" w:sz="4" w:space="0"/>
            </w:tcBorders>
            <w:noWrap w:val="0"/>
            <w:vAlign w:val="center"/>
          </w:tcPr>
          <w:p w14:paraId="49DB2557">
            <w:pPr>
              <w:keepNext w:val="0"/>
              <w:keepLines w:val="0"/>
              <w:widowControl/>
              <w:suppressLineNumbers w:val="0"/>
              <w:jc w:val="center"/>
              <w:textAlignment w:val="center"/>
              <w:rPr>
                <w:rFonts w:hint="default" w:ascii="Arial" w:hAnsi="Arial" w:eastAsia="Tahoma" w:cs="Arial"/>
                <w:i w:val="0"/>
                <w:iCs w:val="0"/>
                <w:color w:val="000000"/>
                <w:sz w:val="20"/>
                <w:szCs w:val="20"/>
                <w:u w:val="none"/>
              </w:rPr>
            </w:pPr>
            <w:r>
              <w:rPr>
                <w:rFonts w:hint="default" w:ascii="Arial" w:hAnsi="Arial" w:eastAsia="Tahoma" w:cs="Arial"/>
                <w:i w:val="0"/>
                <w:iCs w:val="0"/>
                <w:color w:val="000000"/>
                <w:kern w:val="0"/>
                <w:sz w:val="20"/>
                <w:szCs w:val="20"/>
                <w:u w:val="none"/>
                <w:lang w:val="en-US" w:eastAsia="zh-CN" w:bidi="ar"/>
              </w:rPr>
              <w:t>8</w:t>
            </w:r>
          </w:p>
        </w:tc>
        <w:tc>
          <w:tcPr>
            <w:tcW w:w="1500" w:type="dxa"/>
            <w:tcBorders>
              <w:top w:val="single" w:color="000000" w:sz="4" w:space="0"/>
              <w:left w:val="single" w:color="000000" w:sz="4" w:space="0"/>
              <w:bottom w:val="single" w:color="000000" w:sz="4" w:space="0"/>
              <w:right w:val="single" w:color="000000" w:sz="4" w:space="0"/>
            </w:tcBorders>
            <w:noWrap w:val="0"/>
            <w:vAlign w:val="center"/>
          </w:tcPr>
          <w:p w14:paraId="7EF7B4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点对点传输线路</w:t>
            </w:r>
          </w:p>
        </w:tc>
        <w:tc>
          <w:tcPr>
            <w:tcW w:w="2485" w:type="dxa"/>
            <w:tcBorders>
              <w:top w:val="single" w:color="000000" w:sz="4" w:space="0"/>
              <w:left w:val="single" w:color="000000" w:sz="4" w:space="0"/>
              <w:bottom w:val="single" w:color="000000" w:sz="4" w:space="0"/>
              <w:right w:val="single" w:color="000000" w:sz="4" w:space="0"/>
            </w:tcBorders>
            <w:noWrap w:val="0"/>
            <w:vAlign w:val="center"/>
          </w:tcPr>
          <w:p w14:paraId="59AB36D3">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Style w:val="11"/>
                <w:u w:val="none"/>
                <w:lang w:val="en-US" w:eastAsia="zh-CN" w:bidi="ar"/>
              </w:rPr>
              <w:t>连接指挥中心与</w:t>
            </w:r>
            <w:r>
              <w:rPr>
                <w:rStyle w:val="10"/>
                <w:rFonts w:eastAsia="宋体"/>
                <w:u w:val="none"/>
                <w:lang w:val="en-US" w:eastAsia="zh-CN" w:bidi="ar"/>
              </w:rPr>
              <w:t>13</w:t>
            </w:r>
            <w:r>
              <w:rPr>
                <w:rStyle w:val="11"/>
                <w:u w:val="none"/>
                <w:lang w:val="en-US" w:eastAsia="zh-CN" w:bidi="ar"/>
              </w:rPr>
              <w:t>个涵洞监控点设备的传输</w:t>
            </w:r>
          </w:p>
        </w:tc>
        <w:tc>
          <w:tcPr>
            <w:tcW w:w="688" w:type="dxa"/>
            <w:tcBorders>
              <w:top w:val="single" w:color="000000" w:sz="4" w:space="0"/>
              <w:left w:val="single" w:color="000000" w:sz="4" w:space="0"/>
              <w:bottom w:val="single" w:color="000000" w:sz="4" w:space="0"/>
              <w:right w:val="single" w:color="000000" w:sz="4" w:space="0"/>
            </w:tcBorders>
            <w:noWrap w:val="0"/>
            <w:vAlign w:val="center"/>
          </w:tcPr>
          <w:p w14:paraId="402CF0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w:t>
            </w:r>
          </w:p>
        </w:tc>
        <w:tc>
          <w:tcPr>
            <w:tcW w:w="716" w:type="dxa"/>
            <w:tcBorders>
              <w:top w:val="single" w:color="000000" w:sz="4" w:space="0"/>
              <w:left w:val="single" w:color="000000" w:sz="4" w:space="0"/>
              <w:bottom w:val="single" w:color="000000" w:sz="4" w:space="0"/>
              <w:right w:val="single" w:color="000000" w:sz="4" w:space="0"/>
            </w:tcBorders>
            <w:noWrap w:val="0"/>
            <w:vAlign w:val="center"/>
          </w:tcPr>
          <w:p w14:paraId="69932CA8">
            <w:pPr>
              <w:keepNext w:val="0"/>
              <w:keepLines w:val="0"/>
              <w:widowControl/>
              <w:suppressLineNumbers w:val="0"/>
              <w:jc w:val="center"/>
              <w:textAlignment w:val="center"/>
              <w:rPr>
                <w:rFonts w:hint="default" w:ascii="Arial" w:hAnsi="Arial" w:eastAsia="Tahoma" w:cs="Arial"/>
                <w:i w:val="0"/>
                <w:iCs w:val="0"/>
                <w:color w:val="000000"/>
                <w:sz w:val="20"/>
                <w:szCs w:val="20"/>
                <w:u w:val="none"/>
              </w:rPr>
            </w:pPr>
            <w:r>
              <w:rPr>
                <w:rFonts w:hint="default" w:ascii="Arial" w:hAnsi="Arial" w:eastAsia="Tahoma" w:cs="Arial"/>
                <w:i w:val="0"/>
                <w:iCs w:val="0"/>
                <w:color w:val="000000"/>
                <w:kern w:val="0"/>
                <w:sz w:val="20"/>
                <w:szCs w:val="20"/>
                <w:u w:val="none"/>
                <w:lang w:val="en-US" w:eastAsia="zh-CN" w:bidi="ar"/>
              </w:rPr>
              <w:t>13</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24FC2B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条</w:t>
            </w:r>
          </w:p>
        </w:tc>
        <w:tc>
          <w:tcPr>
            <w:tcW w:w="2218" w:type="dxa"/>
            <w:tcBorders>
              <w:top w:val="single" w:color="000000" w:sz="4" w:space="0"/>
              <w:left w:val="single" w:color="000000" w:sz="4" w:space="0"/>
              <w:bottom w:val="single" w:color="000000" w:sz="4" w:space="0"/>
              <w:right w:val="single" w:color="000000" w:sz="4" w:space="0"/>
            </w:tcBorders>
            <w:noWrap w:val="0"/>
            <w:vAlign w:val="center"/>
          </w:tcPr>
          <w:p w14:paraId="68EDA4F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≥10兆，满足视频流畅传输，不卡顿。</w:t>
            </w:r>
          </w:p>
        </w:tc>
      </w:tr>
      <w:tr w14:paraId="5A4160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5" w:hRule="atLeast"/>
        </w:trPr>
        <w:tc>
          <w:tcPr>
            <w:tcW w:w="671" w:type="dxa"/>
            <w:tcBorders>
              <w:top w:val="single" w:color="000000" w:sz="4" w:space="0"/>
              <w:left w:val="single" w:color="000000" w:sz="4" w:space="0"/>
              <w:bottom w:val="single" w:color="000000" w:sz="4" w:space="0"/>
              <w:right w:val="single" w:color="000000" w:sz="4" w:space="0"/>
            </w:tcBorders>
            <w:noWrap w:val="0"/>
            <w:vAlign w:val="center"/>
          </w:tcPr>
          <w:p w14:paraId="499E1AA5">
            <w:pPr>
              <w:keepNext w:val="0"/>
              <w:keepLines w:val="0"/>
              <w:widowControl/>
              <w:suppressLineNumbers w:val="0"/>
              <w:jc w:val="center"/>
              <w:textAlignment w:val="center"/>
              <w:rPr>
                <w:rFonts w:hint="default" w:ascii="Arial" w:hAnsi="Arial" w:eastAsia="Tahoma" w:cs="Arial"/>
                <w:i w:val="0"/>
                <w:iCs w:val="0"/>
                <w:color w:val="000000"/>
                <w:sz w:val="20"/>
                <w:szCs w:val="20"/>
                <w:u w:val="none"/>
              </w:rPr>
            </w:pPr>
            <w:r>
              <w:rPr>
                <w:rFonts w:hint="default" w:ascii="Arial" w:hAnsi="Arial" w:eastAsia="Tahoma" w:cs="Arial"/>
                <w:i w:val="0"/>
                <w:iCs w:val="0"/>
                <w:color w:val="000000"/>
                <w:kern w:val="0"/>
                <w:sz w:val="20"/>
                <w:szCs w:val="20"/>
                <w:u w:val="none"/>
                <w:lang w:val="en-US" w:eastAsia="zh-CN" w:bidi="ar"/>
              </w:rPr>
              <w:t>9</w:t>
            </w:r>
          </w:p>
        </w:tc>
        <w:tc>
          <w:tcPr>
            <w:tcW w:w="1500" w:type="dxa"/>
            <w:tcBorders>
              <w:top w:val="single" w:color="000000" w:sz="4" w:space="0"/>
              <w:left w:val="single" w:color="000000" w:sz="4" w:space="0"/>
              <w:bottom w:val="single" w:color="000000" w:sz="4" w:space="0"/>
              <w:right w:val="single" w:color="000000" w:sz="4" w:space="0"/>
            </w:tcBorders>
            <w:noWrap w:val="0"/>
            <w:vAlign w:val="center"/>
          </w:tcPr>
          <w:p w14:paraId="6F283CC5">
            <w:pPr>
              <w:keepNext w:val="0"/>
              <w:keepLines w:val="0"/>
              <w:widowControl/>
              <w:suppressLineNumbers w:val="0"/>
              <w:jc w:val="center"/>
              <w:textAlignment w:val="center"/>
              <w:rPr>
                <w:rFonts w:hint="default" w:ascii="Arial" w:hAnsi="Arial" w:eastAsia="Tahoma" w:cs="Arial"/>
                <w:i w:val="0"/>
                <w:iCs w:val="0"/>
                <w:color w:val="000000"/>
                <w:sz w:val="20"/>
                <w:szCs w:val="20"/>
                <w:u w:val="none"/>
              </w:rPr>
            </w:pPr>
            <w:r>
              <w:rPr>
                <w:rStyle w:val="10"/>
                <w:rFonts w:eastAsia="Tahoma"/>
                <w:u w:val="none"/>
                <w:lang w:val="en-US" w:eastAsia="zh-CN" w:bidi="ar"/>
              </w:rPr>
              <w:t xml:space="preserve">4G/5G </w:t>
            </w:r>
            <w:r>
              <w:rPr>
                <w:rStyle w:val="11"/>
                <w:u w:val="none"/>
                <w:lang w:val="en-US" w:eastAsia="zh-CN" w:bidi="ar"/>
              </w:rPr>
              <w:t>流量卡</w:t>
            </w:r>
          </w:p>
        </w:tc>
        <w:tc>
          <w:tcPr>
            <w:tcW w:w="2485" w:type="dxa"/>
            <w:tcBorders>
              <w:top w:val="single" w:color="000000" w:sz="4" w:space="0"/>
              <w:left w:val="single" w:color="000000" w:sz="4" w:space="0"/>
              <w:bottom w:val="single" w:color="000000" w:sz="4" w:space="0"/>
              <w:right w:val="single" w:color="000000" w:sz="4" w:space="0"/>
            </w:tcBorders>
            <w:noWrap w:val="0"/>
            <w:vAlign w:val="center"/>
          </w:tcPr>
          <w:p w14:paraId="63E5CECD">
            <w:pPr>
              <w:keepNext w:val="0"/>
              <w:keepLines w:val="0"/>
              <w:widowControl/>
              <w:suppressLineNumbers w:val="0"/>
              <w:jc w:val="both"/>
              <w:textAlignment w:val="center"/>
              <w:rPr>
                <w:rFonts w:hint="default" w:ascii="Arial" w:hAnsi="Arial" w:eastAsia="Tahoma" w:cs="Arial"/>
                <w:i w:val="0"/>
                <w:iCs w:val="0"/>
                <w:color w:val="000000"/>
                <w:sz w:val="20"/>
                <w:szCs w:val="20"/>
                <w:u w:val="none"/>
              </w:rPr>
            </w:pPr>
            <w:r>
              <w:rPr>
                <w:rStyle w:val="11"/>
                <w:u w:val="none"/>
                <w:lang w:val="en-US" w:eastAsia="zh-CN" w:bidi="ar"/>
              </w:rPr>
              <w:t>流量卡（每张卡每月</w:t>
            </w:r>
            <w:r>
              <w:rPr>
                <w:rStyle w:val="10"/>
                <w:rFonts w:eastAsia="Tahoma"/>
                <w:u w:val="none"/>
                <w:lang w:val="en-US" w:eastAsia="zh-CN" w:bidi="ar"/>
              </w:rPr>
              <w:t>40G</w:t>
            </w:r>
            <w:r>
              <w:rPr>
                <w:rStyle w:val="11"/>
                <w:u w:val="none"/>
                <w:lang w:val="en-US" w:eastAsia="zh-CN" w:bidi="ar"/>
              </w:rPr>
              <w:t>流量）</w:t>
            </w:r>
          </w:p>
        </w:tc>
        <w:tc>
          <w:tcPr>
            <w:tcW w:w="688" w:type="dxa"/>
            <w:tcBorders>
              <w:top w:val="single" w:color="000000" w:sz="4" w:space="0"/>
              <w:left w:val="single" w:color="000000" w:sz="4" w:space="0"/>
              <w:bottom w:val="single" w:color="000000" w:sz="4" w:space="0"/>
              <w:right w:val="single" w:color="000000" w:sz="4" w:space="0"/>
            </w:tcBorders>
            <w:noWrap w:val="0"/>
            <w:vAlign w:val="center"/>
          </w:tcPr>
          <w:p w14:paraId="340BB4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w:t>
            </w:r>
          </w:p>
        </w:tc>
        <w:tc>
          <w:tcPr>
            <w:tcW w:w="716" w:type="dxa"/>
            <w:tcBorders>
              <w:top w:val="single" w:color="000000" w:sz="4" w:space="0"/>
              <w:left w:val="single" w:color="000000" w:sz="4" w:space="0"/>
              <w:bottom w:val="single" w:color="000000" w:sz="4" w:space="0"/>
              <w:right w:val="single" w:color="000000" w:sz="4" w:space="0"/>
            </w:tcBorders>
            <w:noWrap w:val="0"/>
            <w:vAlign w:val="center"/>
          </w:tcPr>
          <w:p w14:paraId="4F805FC3">
            <w:pPr>
              <w:keepNext w:val="0"/>
              <w:keepLines w:val="0"/>
              <w:widowControl/>
              <w:suppressLineNumbers w:val="0"/>
              <w:jc w:val="center"/>
              <w:textAlignment w:val="center"/>
              <w:rPr>
                <w:rFonts w:hint="default" w:ascii="Arial" w:hAnsi="Arial" w:eastAsia="Tahoma" w:cs="Arial"/>
                <w:i w:val="0"/>
                <w:iCs w:val="0"/>
                <w:color w:val="000000"/>
                <w:sz w:val="20"/>
                <w:szCs w:val="20"/>
                <w:u w:val="none"/>
              </w:rPr>
            </w:pPr>
            <w:r>
              <w:rPr>
                <w:rFonts w:hint="default" w:ascii="Arial" w:hAnsi="Arial" w:eastAsia="Tahoma" w:cs="Arial"/>
                <w:i w:val="0"/>
                <w:iCs w:val="0"/>
                <w:color w:val="000000"/>
                <w:kern w:val="0"/>
                <w:sz w:val="20"/>
                <w:szCs w:val="20"/>
                <w:u w:val="none"/>
                <w:lang w:val="en-US" w:eastAsia="zh-CN" w:bidi="ar"/>
              </w:rPr>
              <w:t>61</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11B9F8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2218" w:type="dxa"/>
            <w:tcBorders>
              <w:top w:val="single" w:color="000000" w:sz="4" w:space="0"/>
              <w:left w:val="single" w:color="000000" w:sz="4" w:space="0"/>
              <w:bottom w:val="single" w:color="000000" w:sz="4" w:space="0"/>
              <w:right w:val="single" w:color="000000" w:sz="4" w:space="0"/>
            </w:tcBorders>
            <w:noWrap w:val="0"/>
            <w:vAlign w:val="center"/>
          </w:tcPr>
          <w:p w14:paraId="4DEA230A">
            <w:pPr>
              <w:keepNext w:val="0"/>
              <w:keepLines w:val="0"/>
              <w:widowControl/>
              <w:suppressLineNumbers w:val="0"/>
              <w:jc w:val="left"/>
              <w:textAlignment w:val="center"/>
              <w:rPr>
                <w:rFonts w:hint="default" w:ascii="Arial" w:hAnsi="Arial" w:eastAsia="Tahoma" w:cs="Arial"/>
                <w:i w:val="0"/>
                <w:iCs w:val="0"/>
                <w:color w:val="000000"/>
                <w:sz w:val="20"/>
                <w:szCs w:val="20"/>
                <w:u w:val="none"/>
              </w:rPr>
            </w:pPr>
            <w:r>
              <w:rPr>
                <w:rStyle w:val="10"/>
                <w:rFonts w:eastAsia="Tahoma"/>
                <w:u w:val="none"/>
                <w:lang w:val="en-US" w:eastAsia="zh-CN" w:bidi="ar"/>
              </w:rPr>
              <w:t>61</w:t>
            </w:r>
            <w:r>
              <w:rPr>
                <w:rStyle w:val="11"/>
                <w:u w:val="none"/>
                <w:lang w:val="en-US" w:eastAsia="zh-CN" w:bidi="ar"/>
              </w:rPr>
              <w:t>张</w:t>
            </w:r>
            <w:r>
              <w:rPr>
                <w:rStyle w:val="10"/>
                <w:rFonts w:eastAsia="Tahoma"/>
                <w:u w:val="none"/>
                <w:lang w:val="en-US" w:eastAsia="zh-CN" w:bidi="ar"/>
              </w:rPr>
              <w:t>*40G*12</w:t>
            </w:r>
            <w:r>
              <w:rPr>
                <w:rStyle w:val="11"/>
                <w:u w:val="none"/>
                <w:lang w:val="en-US" w:eastAsia="zh-CN" w:bidi="ar"/>
              </w:rPr>
              <w:t>月</w:t>
            </w:r>
            <w:r>
              <w:rPr>
                <w:rStyle w:val="10"/>
                <w:rFonts w:eastAsia="Tahoma"/>
                <w:u w:val="none"/>
                <w:lang w:val="en-US" w:eastAsia="zh-CN" w:bidi="ar"/>
              </w:rPr>
              <w:t>=29280G</w:t>
            </w:r>
            <w:r>
              <w:rPr>
                <w:rStyle w:val="11"/>
                <w:u w:val="none"/>
                <w:lang w:val="en-US" w:eastAsia="zh-CN" w:bidi="ar"/>
              </w:rPr>
              <w:t>（共用流量池）中标单位负责安装，调试。</w:t>
            </w:r>
          </w:p>
        </w:tc>
      </w:tr>
      <w:tr w14:paraId="244A58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5" w:hRule="atLeast"/>
        </w:trPr>
        <w:tc>
          <w:tcPr>
            <w:tcW w:w="671" w:type="dxa"/>
            <w:tcBorders>
              <w:top w:val="single" w:color="000000" w:sz="4" w:space="0"/>
              <w:left w:val="single" w:color="000000" w:sz="4" w:space="0"/>
              <w:bottom w:val="single" w:color="000000" w:sz="4" w:space="0"/>
              <w:right w:val="single" w:color="000000" w:sz="4" w:space="0"/>
            </w:tcBorders>
            <w:noWrap w:val="0"/>
            <w:vAlign w:val="center"/>
          </w:tcPr>
          <w:p w14:paraId="5D936A29">
            <w:pPr>
              <w:keepNext w:val="0"/>
              <w:keepLines w:val="0"/>
              <w:widowControl/>
              <w:suppressLineNumbers w:val="0"/>
              <w:jc w:val="center"/>
              <w:textAlignment w:val="center"/>
              <w:rPr>
                <w:rFonts w:hint="default" w:ascii="Arial" w:hAnsi="Arial" w:eastAsia="Tahoma" w:cs="Arial"/>
                <w:i w:val="0"/>
                <w:iCs w:val="0"/>
                <w:color w:val="000000"/>
                <w:sz w:val="20"/>
                <w:szCs w:val="20"/>
                <w:u w:val="none"/>
              </w:rPr>
            </w:pPr>
            <w:r>
              <w:rPr>
                <w:rFonts w:hint="default" w:ascii="Arial" w:hAnsi="Arial" w:eastAsia="Tahoma" w:cs="Arial"/>
                <w:i w:val="0"/>
                <w:iCs w:val="0"/>
                <w:color w:val="000000"/>
                <w:kern w:val="0"/>
                <w:sz w:val="20"/>
                <w:szCs w:val="20"/>
                <w:u w:val="none"/>
                <w:lang w:val="en-US" w:eastAsia="zh-CN" w:bidi="ar"/>
              </w:rPr>
              <w:t>10</w:t>
            </w:r>
          </w:p>
        </w:tc>
        <w:tc>
          <w:tcPr>
            <w:tcW w:w="1500" w:type="dxa"/>
            <w:tcBorders>
              <w:top w:val="single" w:color="000000" w:sz="4" w:space="0"/>
              <w:left w:val="single" w:color="000000" w:sz="4" w:space="0"/>
              <w:bottom w:val="single" w:color="000000" w:sz="4" w:space="0"/>
              <w:right w:val="single" w:color="000000" w:sz="4" w:space="0"/>
            </w:tcBorders>
            <w:noWrap w:val="0"/>
            <w:vAlign w:val="center"/>
          </w:tcPr>
          <w:p w14:paraId="4B2B8C51">
            <w:pPr>
              <w:keepNext w:val="0"/>
              <w:keepLines w:val="0"/>
              <w:widowControl/>
              <w:suppressLineNumbers w:val="0"/>
              <w:jc w:val="center"/>
              <w:textAlignment w:val="center"/>
              <w:rPr>
                <w:rFonts w:hint="default" w:ascii="Arial" w:hAnsi="Arial" w:eastAsia="Tahoma" w:cs="Arial"/>
                <w:i w:val="0"/>
                <w:iCs w:val="0"/>
                <w:color w:val="000000"/>
                <w:sz w:val="20"/>
                <w:szCs w:val="20"/>
                <w:u w:val="none"/>
              </w:rPr>
            </w:pPr>
            <w:r>
              <w:rPr>
                <w:rStyle w:val="10"/>
                <w:rFonts w:eastAsia="Tahoma"/>
                <w:u w:val="none"/>
                <w:lang w:val="en-US" w:eastAsia="zh-CN" w:bidi="ar"/>
              </w:rPr>
              <w:t xml:space="preserve">4G/5G </w:t>
            </w:r>
            <w:r>
              <w:rPr>
                <w:rStyle w:val="11"/>
                <w:u w:val="none"/>
                <w:lang w:val="en-US" w:eastAsia="zh-CN" w:bidi="ar"/>
              </w:rPr>
              <w:t>流量卡</w:t>
            </w:r>
          </w:p>
        </w:tc>
        <w:tc>
          <w:tcPr>
            <w:tcW w:w="2485" w:type="dxa"/>
            <w:tcBorders>
              <w:top w:val="single" w:color="000000" w:sz="4" w:space="0"/>
              <w:left w:val="single" w:color="000000" w:sz="4" w:space="0"/>
              <w:bottom w:val="single" w:color="000000" w:sz="4" w:space="0"/>
              <w:right w:val="single" w:color="000000" w:sz="4" w:space="0"/>
            </w:tcBorders>
            <w:noWrap w:val="0"/>
            <w:vAlign w:val="center"/>
          </w:tcPr>
          <w:p w14:paraId="324C81C7">
            <w:pPr>
              <w:keepNext w:val="0"/>
              <w:keepLines w:val="0"/>
              <w:widowControl/>
              <w:suppressLineNumbers w:val="0"/>
              <w:jc w:val="both"/>
              <w:textAlignment w:val="center"/>
              <w:rPr>
                <w:rFonts w:hint="default" w:ascii="Arial" w:hAnsi="Arial" w:eastAsia="Tahoma" w:cs="Arial"/>
                <w:i w:val="0"/>
                <w:iCs w:val="0"/>
                <w:color w:val="000000"/>
                <w:sz w:val="20"/>
                <w:szCs w:val="20"/>
                <w:u w:val="none"/>
              </w:rPr>
            </w:pPr>
            <w:r>
              <w:rPr>
                <w:rStyle w:val="10"/>
                <w:rFonts w:eastAsia="Tahoma"/>
                <w:u w:val="none"/>
                <w:lang w:val="en-US" w:eastAsia="zh-CN" w:bidi="ar"/>
              </w:rPr>
              <w:t>422</w:t>
            </w:r>
            <w:r>
              <w:rPr>
                <w:rStyle w:val="11"/>
                <w:u w:val="none"/>
                <w:lang w:val="en-US" w:eastAsia="zh-CN" w:bidi="ar"/>
              </w:rPr>
              <w:t>部对讲机流量卡</w:t>
            </w:r>
          </w:p>
        </w:tc>
        <w:tc>
          <w:tcPr>
            <w:tcW w:w="688" w:type="dxa"/>
            <w:tcBorders>
              <w:top w:val="single" w:color="000000" w:sz="4" w:space="0"/>
              <w:left w:val="single" w:color="000000" w:sz="4" w:space="0"/>
              <w:bottom w:val="single" w:color="000000" w:sz="4" w:space="0"/>
              <w:right w:val="single" w:color="000000" w:sz="4" w:space="0"/>
            </w:tcBorders>
            <w:noWrap w:val="0"/>
            <w:vAlign w:val="center"/>
          </w:tcPr>
          <w:p w14:paraId="10C62B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w:t>
            </w:r>
          </w:p>
        </w:tc>
        <w:tc>
          <w:tcPr>
            <w:tcW w:w="716" w:type="dxa"/>
            <w:tcBorders>
              <w:top w:val="single" w:color="000000" w:sz="4" w:space="0"/>
              <w:left w:val="single" w:color="000000" w:sz="4" w:space="0"/>
              <w:bottom w:val="single" w:color="000000" w:sz="4" w:space="0"/>
              <w:right w:val="single" w:color="000000" w:sz="4" w:space="0"/>
            </w:tcBorders>
            <w:noWrap w:val="0"/>
            <w:vAlign w:val="center"/>
          </w:tcPr>
          <w:p w14:paraId="781DCB4B">
            <w:pPr>
              <w:keepNext w:val="0"/>
              <w:keepLines w:val="0"/>
              <w:widowControl/>
              <w:suppressLineNumbers w:val="0"/>
              <w:jc w:val="center"/>
              <w:textAlignment w:val="center"/>
              <w:rPr>
                <w:rFonts w:hint="default" w:ascii="Arial" w:hAnsi="Arial" w:eastAsia="Tahoma" w:cs="Arial"/>
                <w:i w:val="0"/>
                <w:iCs w:val="0"/>
                <w:color w:val="000000"/>
                <w:sz w:val="20"/>
                <w:szCs w:val="20"/>
                <w:u w:val="none"/>
              </w:rPr>
            </w:pPr>
            <w:r>
              <w:rPr>
                <w:rFonts w:hint="default" w:ascii="Arial" w:hAnsi="Arial" w:eastAsia="Tahoma" w:cs="Arial"/>
                <w:i w:val="0"/>
                <w:iCs w:val="0"/>
                <w:color w:val="000000"/>
                <w:kern w:val="0"/>
                <w:sz w:val="20"/>
                <w:szCs w:val="20"/>
                <w:u w:val="none"/>
                <w:lang w:val="en-US" w:eastAsia="zh-CN" w:bidi="ar"/>
              </w:rPr>
              <w:t>422</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69A9C4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张</w:t>
            </w:r>
          </w:p>
        </w:tc>
        <w:tc>
          <w:tcPr>
            <w:tcW w:w="2218" w:type="dxa"/>
            <w:tcBorders>
              <w:top w:val="single" w:color="000000" w:sz="4" w:space="0"/>
              <w:left w:val="single" w:color="000000" w:sz="4" w:space="0"/>
              <w:bottom w:val="single" w:color="000000" w:sz="4" w:space="0"/>
              <w:right w:val="single" w:color="000000" w:sz="4" w:space="0"/>
            </w:tcBorders>
            <w:noWrap w:val="0"/>
            <w:vAlign w:val="center"/>
          </w:tcPr>
          <w:p w14:paraId="73DEFDA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11"/>
                <w:u w:val="none"/>
                <w:lang w:val="en-US" w:eastAsia="zh-CN" w:bidi="ar"/>
              </w:rPr>
              <w:t>满足</w:t>
            </w:r>
            <w:r>
              <w:rPr>
                <w:rStyle w:val="10"/>
                <w:rFonts w:eastAsia="宋体"/>
                <w:u w:val="none"/>
                <w:lang w:val="en-US" w:eastAsia="zh-CN" w:bidi="ar"/>
              </w:rPr>
              <w:t>422</w:t>
            </w:r>
            <w:r>
              <w:rPr>
                <w:rStyle w:val="11"/>
                <w:u w:val="none"/>
                <w:lang w:val="en-US" w:eastAsia="zh-CN" w:bidi="ar"/>
              </w:rPr>
              <w:t>部对讲机</w:t>
            </w:r>
            <w:r>
              <w:rPr>
                <w:rStyle w:val="10"/>
                <w:rFonts w:eastAsia="宋体"/>
                <w:u w:val="none"/>
                <w:lang w:val="en-US" w:eastAsia="zh-CN" w:bidi="ar"/>
              </w:rPr>
              <w:t>365</w:t>
            </w:r>
            <w:r>
              <w:rPr>
                <w:rStyle w:val="11"/>
                <w:u w:val="none"/>
                <w:lang w:val="en-US" w:eastAsia="zh-CN" w:bidi="ar"/>
              </w:rPr>
              <w:t>天通讯业务，每张卡每年不少于50G。</w:t>
            </w:r>
          </w:p>
        </w:tc>
      </w:tr>
      <w:tr w14:paraId="6EF1F9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0" w:hRule="atLeast"/>
        </w:trPr>
        <w:tc>
          <w:tcPr>
            <w:tcW w:w="671" w:type="dxa"/>
            <w:tcBorders>
              <w:top w:val="single" w:color="000000" w:sz="4" w:space="0"/>
              <w:left w:val="single" w:color="000000" w:sz="4" w:space="0"/>
              <w:bottom w:val="single" w:color="000000" w:sz="4" w:space="0"/>
              <w:right w:val="single" w:color="000000" w:sz="4" w:space="0"/>
            </w:tcBorders>
            <w:noWrap w:val="0"/>
            <w:vAlign w:val="center"/>
          </w:tcPr>
          <w:p w14:paraId="63D2CBC8">
            <w:pPr>
              <w:keepNext w:val="0"/>
              <w:keepLines w:val="0"/>
              <w:widowControl/>
              <w:suppressLineNumbers w:val="0"/>
              <w:jc w:val="center"/>
              <w:textAlignment w:val="center"/>
              <w:rPr>
                <w:rFonts w:hint="default" w:ascii="Arial" w:hAnsi="Arial" w:eastAsia="Tahoma" w:cs="Arial"/>
                <w:i w:val="0"/>
                <w:iCs w:val="0"/>
                <w:color w:val="000000"/>
                <w:sz w:val="20"/>
                <w:szCs w:val="20"/>
                <w:u w:val="none"/>
              </w:rPr>
            </w:pPr>
            <w:r>
              <w:rPr>
                <w:rFonts w:hint="default" w:ascii="Arial" w:hAnsi="Arial" w:eastAsia="Tahoma" w:cs="Arial"/>
                <w:i w:val="0"/>
                <w:iCs w:val="0"/>
                <w:color w:val="000000"/>
                <w:kern w:val="0"/>
                <w:sz w:val="20"/>
                <w:szCs w:val="20"/>
                <w:u w:val="none"/>
                <w:lang w:val="en-US" w:eastAsia="zh-CN" w:bidi="ar"/>
              </w:rPr>
              <w:t>11</w:t>
            </w:r>
          </w:p>
        </w:tc>
        <w:tc>
          <w:tcPr>
            <w:tcW w:w="1500" w:type="dxa"/>
            <w:tcBorders>
              <w:top w:val="single" w:color="000000" w:sz="4" w:space="0"/>
              <w:left w:val="single" w:color="000000" w:sz="4" w:space="0"/>
              <w:bottom w:val="single" w:color="000000" w:sz="4" w:space="0"/>
              <w:right w:val="single" w:color="000000" w:sz="4" w:space="0"/>
            </w:tcBorders>
            <w:noWrap w:val="0"/>
            <w:vAlign w:val="center"/>
          </w:tcPr>
          <w:p w14:paraId="3C031796">
            <w:pPr>
              <w:keepNext w:val="0"/>
              <w:keepLines w:val="0"/>
              <w:widowControl/>
              <w:suppressLineNumbers w:val="0"/>
              <w:jc w:val="center"/>
              <w:textAlignment w:val="center"/>
              <w:rPr>
                <w:rFonts w:hint="default" w:ascii="Arial" w:hAnsi="Arial" w:eastAsia="Tahoma" w:cs="Arial"/>
                <w:i w:val="0"/>
                <w:iCs w:val="0"/>
                <w:color w:val="000000"/>
                <w:sz w:val="20"/>
                <w:szCs w:val="20"/>
                <w:u w:val="none"/>
              </w:rPr>
            </w:pPr>
            <w:r>
              <w:rPr>
                <w:rStyle w:val="10"/>
                <w:rFonts w:eastAsia="Tahoma"/>
                <w:u w:val="none"/>
                <w:lang w:val="en-US" w:eastAsia="zh-CN" w:bidi="ar"/>
              </w:rPr>
              <w:t>4G/5G</w:t>
            </w:r>
            <w:r>
              <w:rPr>
                <w:rStyle w:val="11"/>
                <w:u w:val="none"/>
                <w:lang w:val="en-US" w:eastAsia="zh-CN" w:bidi="ar"/>
              </w:rPr>
              <w:t>传输设备</w:t>
            </w:r>
          </w:p>
        </w:tc>
        <w:tc>
          <w:tcPr>
            <w:tcW w:w="2485" w:type="dxa"/>
            <w:tcBorders>
              <w:top w:val="single" w:color="000000" w:sz="4" w:space="0"/>
              <w:left w:val="single" w:color="000000" w:sz="4" w:space="0"/>
              <w:bottom w:val="single" w:color="000000" w:sz="4" w:space="0"/>
              <w:right w:val="single" w:color="000000" w:sz="4" w:space="0"/>
            </w:tcBorders>
            <w:noWrap w:val="0"/>
            <w:vAlign w:val="center"/>
          </w:tcPr>
          <w:p w14:paraId="3E365721">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Style w:val="11"/>
                <w:u w:val="none"/>
                <w:lang w:val="en-US" w:eastAsia="zh-CN" w:bidi="ar"/>
              </w:rPr>
              <w:t>无线</w:t>
            </w:r>
            <w:r>
              <w:rPr>
                <w:rStyle w:val="10"/>
                <w:rFonts w:eastAsia="宋体"/>
                <w:u w:val="none"/>
                <w:lang w:val="en-US" w:eastAsia="zh-CN" w:bidi="ar"/>
              </w:rPr>
              <w:t>4G/5G</w:t>
            </w:r>
            <w:r>
              <w:rPr>
                <w:rStyle w:val="11"/>
                <w:u w:val="none"/>
                <w:lang w:val="en-US" w:eastAsia="zh-CN" w:bidi="ar"/>
              </w:rPr>
              <w:t>传输设备</w:t>
            </w:r>
          </w:p>
        </w:tc>
        <w:tc>
          <w:tcPr>
            <w:tcW w:w="688" w:type="dxa"/>
            <w:tcBorders>
              <w:top w:val="single" w:color="000000" w:sz="4" w:space="0"/>
              <w:left w:val="single" w:color="000000" w:sz="4" w:space="0"/>
              <w:bottom w:val="single" w:color="000000" w:sz="4" w:space="0"/>
              <w:right w:val="single" w:color="000000" w:sz="4" w:space="0"/>
            </w:tcBorders>
            <w:noWrap w:val="0"/>
            <w:vAlign w:val="center"/>
          </w:tcPr>
          <w:p w14:paraId="0DC87F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中国</w:t>
            </w:r>
          </w:p>
        </w:tc>
        <w:tc>
          <w:tcPr>
            <w:tcW w:w="716" w:type="dxa"/>
            <w:tcBorders>
              <w:top w:val="single" w:color="000000" w:sz="4" w:space="0"/>
              <w:left w:val="single" w:color="000000" w:sz="4" w:space="0"/>
              <w:bottom w:val="single" w:color="000000" w:sz="4" w:space="0"/>
              <w:right w:val="single" w:color="000000" w:sz="4" w:space="0"/>
            </w:tcBorders>
            <w:noWrap w:val="0"/>
            <w:vAlign w:val="center"/>
          </w:tcPr>
          <w:p w14:paraId="00C63AB1">
            <w:pPr>
              <w:keepNext w:val="0"/>
              <w:keepLines w:val="0"/>
              <w:widowControl/>
              <w:suppressLineNumbers w:val="0"/>
              <w:jc w:val="center"/>
              <w:textAlignment w:val="center"/>
              <w:rPr>
                <w:rFonts w:hint="default" w:ascii="Arial" w:hAnsi="Arial" w:eastAsia="Tahoma" w:cs="Arial"/>
                <w:i w:val="0"/>
                <w:iCs w:val="0"/>
                <w:color w:val="000000"/>
                <w:sz w:val="20"/>
                <w:szCs w:val="20"/>
                <w:u w:val="none"/>
              </w:rPr>
            </w:pPr>
            <w:r>
              <w:rPr>
                <w:rFonts w:hint="default" w:ascii="Arial" w:hAnsi="Arial" w:eastAsia="Tahoma" w:cs="Arial"/>
                <w:i w:val="0"/>
                <w:iCs w:val="0"/>
                <w:color w:val="000000"/>
                <w:kern w:val="0"/>
                <w:sz w:val="20"/>
                <w:szCs w:val="20"/>
                <w:u w:val="none"/>
                <w:lang w:val="en-US" w:eastAsia="zh-CN" w:bidi="ar"/>
              </w:rPr>
              <w:t>61</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2631F3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2218" w:type="dxa"/>
            <w:tcBorders>
              <w:top w:val="single" w:color="000000" w:sz="4" w:space="0"/>
              <w:left w:val="single" w:color="000000" w:sz="4" w:space="0"/>
              <w:bottom w:val="single" w:color="000000" w:sz="4" w:space="0"/>
              <w:right w:val="single" w:color="000000" w:sz="4" w:space="0"/>
            </w:tcBorders>
            <w:noWrap w:val="0"/>
            <w:vAlign w:val="center"/>
          </w:tcPr>
          <w:p w14:paraId="12B5969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中标单位负责维护设备正常运转，调试路面监控34，垃圾站17，积水点10。</w:t>
            </w:r>
          </w:p>
        </w:tc>
      </w:tr>
    </w:tbl>
    <w:p w14:paraId="665B7F6A">
      <w:pPr>
        <w:rPr>
          <w:rFonts w:hint="default" w:ascii="楷体_GB2312" w:hAnsi="宋体" w:eastAsia="楷体_GB2312" w:cs="楷体_GB2312"/>
          <w:color w:val="auto"/>
          <w:sz w:val="28"/>
          <w:szCs w:val="28"/>
          <w:lang w:val="en-US" w:eastAsia="zh-CN"/>
        </w:rPr>
      </w:pPr>
    </w:p>
    <w:p w14:paraId="77BF23BB">
      <w:bookmarkStart w:id="4" w:name="_GoBack"/>
      <w:bookmarkEnd w:id="4"/>
    </w:p>
    <w:sectPr>
      <w:footerReference r:id="rId3" w:type="default"/>
      <w:pgSz w:w="11906" w:h="16838"/>
      <w:pgMar w:top="2098" w:right="1474" w:bottom="1984" w:left="1587"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00" w:usb3="00000000" w:csb0="00040000" w:csb1="00000000"/>
  </w:font>
  <w:font w:name="方正书宋_GBK">
    <w:altName w:val="微软雅黑"/>
    <w:panose1 w:val="02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KSOFF9CC6125">
    <w:panose1 w:val="02010609060101010101"/>
    <w:charset w:val="86"/>
    <w:family w:val="auto"/>
    <w:pitch w:val="default"/>
    <w:sig w:usb0="00000001" w:usb1="00000000" w:usb2="00000000" w:usb3="00000000" w:csb0="00040001" w:csb1="00000000"/>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D321D7">
    <w:pPr>
      <w:pStyle w:val="5"/>
      <w:rPr>
        <w:color w:val="auto"/>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18A1886">
                          <w:pPr>
                            <w:pStyle w:val="5"/>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path/>
              <v:fill on="f" focussize="0,0"/>
              <v:stroke on="f"/>
              <v:imagedata o:title=""/>
              <o:lock v:ext="edit" aspectratio="f"/>
              <v:textbox inset="0mm,0mm,0mm,0mm" style="mso-fit-shape-to-text:t;">
                <w:txbxContent>
                  <w:p w14:paraId="018A1886">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54926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0"/>
    <w:pPr>
      <w:ind w:firstLine="420" w:firstLineChars="200"/>
    </w:pPr>
  </w:style>
  <w:style w:type="paragraph" w:styleId="3">
    <w:name w:val="Body Text"/>
    <w:basedOn w:val="1"/>
    <w:next w:val="1"/>
    <w:qFormat/>
    <w:uiPriority w:val="0"/>
    <w:pPr>
      <w:spacing w:after="120" w:afterLines="0"/>
    </w:pPr>
    <w:rPr>
      <w:rFonts w:ascii="Times New Roman"/>
      <w:kern w:val="2"/>
      <w:sz w:val="21"/>
    </w:rPr>
  </w:style>
  <w:style w:type="paragraph" w:styleId="4">
    <w:name w:val="Body Text Indent"/>
    <w:basedOn w:val="1"/>
    <w:qFormat/>
    <w:uiPriority w:val="0"/>
    <w:pPr>
      <w:widowControl/>
      <w:ind w:firstLine="652" w:firstLineChars="233"/>
    </w:pPr>
    <w:rPr>
      <w:rFonts w:ascii="Times New Roman"/>
      <w:sz w:val="28"/>
    </w:rPr>
  </w:style>
  <w:style w:type="paragraph" w:styleId="5">
    <w:name w:val="footer"/>
    <w:basedOn w:val="1"/>
    <w:uiPriority w:val="0"/>
    <w:pPr>
      <w:tabs>
        <w:tab w:val="center" w:pos="4153"/>
        <w:tab w:val="right" w:pos="8306"/>
      </w:tabs>
      <w:snapToGrid w:val="0"/>
      <w:jc w:val="left"/>
    </w:pPr>
    <w:rPr>
      <w:sz w:val="18"/>
      <w:szCs w:val="18"/>
    </w:rPr>
  </w:style>
  <w:style w:type="paragraph" w:styleId="6">
    <w:name w:val="Body Text First Indent"/>
    <w:basedOn w:val="3"/>
    <w:next w:val="1"/>
    <w:qFormat/>
    <w:uiPriority w:val="99"/>
    <w:pPr>
      <w:spacing w:after="120" w:line="240" w:lineRule="auto"/>
      <w:ind w:firstLine="420" w:firstLineChars="100"/>
    </w:pPr>
    <w:rPr>
      <w:rFonts w:ascii="宋体" w:hAnsi="Calibri"/>
      <w:color w:val="auto"/>
      <w:sz w:val="21"/>
    </w:rPr>
  </w:style>
  <w:style w:type="paragraph" w:styleId="7">
    <w:name w:val="Body Text First Indent 2"/>
    <w:basedOn w:val="4"/>
    <w:next w:val="6"/>
    <w:unhideWhenUsed/>
    <w:qFormat/>
    <w:uiPriority w:val="99"/>
    <w:pPr>
      <w:spacing w:after="120"/>
      <w:ind w:left="420" w:leftChars="200" w:firstLine="420" w:firstLineChars="200"/>
    </w:pPr>
    <w:rPr>
      <w:rFonts w:ascii="Times New Roman"/>
      <w:kern w:val="0"/>
      <w:sz w:val="20"/>
    </w:rPr>
  </w:style>
  <w:style w:type="character" w:customStyle="1" w:styleId="10">
    <w:name w:val="font41"/>
    <w:basedOn w:val="9"/>
    <w:uiPriority w:val="0"/>
    <w:rPr>
      <w:rFonts w:hint="default" w:ascii="Arial" w:hAnsi="Arial" w:cs="Arial"/>
      <w:color w:val="000000"/>
      <w:sz w:val="20"/>
      <w:szCs w:val="20"/>
      <w:u w:val="none"/>
    </w:rPr>
  </w:style>
  <w:style w:type="character" w:customStyle="1" w:styleId="11">
    <w:name w:val="font51"/>
    <w:basedOn w:val="9"/>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2026-04-29T03:31:12Z</dcterms:created>
  <dc:creator>Administrator</dc:creator>
  <cp:lastModifiedBy>WY</cp:lastModifiedBy>
  <dcterms:modified xsi:type="dcterms:W3CDTF">2026-04-29T03:31:25Z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eyJoZGlkIjoiYWNlZDgxNjAwZTA2NmQyZWM5YmEzZGY2MWNmYjliNTEiLCJ1c2VySWQiOiIzMTg3MTM2MDUifQ==</vt:lpwstr>
  </property>
  <property fmtid="{D5CDD505-2E9C-101B-9397-08002B2CF9AE}" pid="4" name="ICV">
    <vt:lpwstr>34F58859714B4F2486F64E90951A058E_12</vt:lpwstr>
  </property>
</Properties>
</file>