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版本号：QHY-2026-ZB-01020260429001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未央区2025年度重度污染耕地严格管控项目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QHY-2026-ZB-010</w:t>
      </w:r>
      <w:r>
        <w:br/>
      </w:r>
      <w:r>
        <w:br/>
      </w:r>
      <w:r>
        <w:br/>
      </w:r>
    </w:p>
    <w:p>
      <w:pPr>
        <w:pStyle w:val="null3"/>
        <w:jc w:val="center"/>
        <w:outlineLvl w:val="2"/>
      </w:pPr>
      <w:r>
        <w:rPr>
          <w:rFonts w:ascii="仿宋_GB2312" w:hAnsi="仿宋_GB2312" w:cs="仿宋_GB2312" w:eastAsia="仿宋_GB2312"/>
          <w:sz w:val="28"/>
          <w:b/>
        </w:rPr>
        <w:t>西安市未央区农业科学技术推广中心</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西安市未央区农业科学技术推广中心</w:t>
      </w:r>
      <w:r>
        <w:rPr>
          <w:rFonts w:ascii="仿宋_GB2312" w:hAnsi="仿宋_GB2312" w:cs="仿宋_GB2312" w:eastAsia="仿宋_GB2312"/>
        </w:rPr>
        <w:t>委托，拟对</w:t>
      </w:r>
      <w:r>
        <w:rPr>
          <w:rFonts w:ascii="仿宋_GB2312" w:hAnsi="仿宋_GB2312" w:cs="仿宋_GB2312" w:eastAsia="仿宋_GB2312"/>
        </w:rPr>
        <w:t>未央区2025年度重度污染耕地严格管控项目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未央区2025年度重度污染耕地严格管控项目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未央区2025年度重度污染耕地严格管控项目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西安市未央区农业科学技术推广中心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西安市未央区方新村华迪大厦9楼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杨欣欣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13991852896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代理费不足捌仟元，按捌仟元收取。成交单位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西安市未央区农业科学技术推广中心</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西安市未央区农业科学技术推广中心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西安市未央区农业科学技术推广中心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未央区2025年度重度污染耕地严格管控项目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570,700.00</w:t>
      </w:r>
    </w:p>
    <w:p>
      <w:pPr>
        <w:pStyle w:val="null3"/>
      </w:pPr>
      <w:r>
        <w:rPr>
          <w:rFonts w:ascii="仿宋_GB2312" w:hAnsi="仿宋_GB2312" w:cs="仿宋_GB2312" w:eastAsia="仿宋_GB2312"/>
        </w:rPr>
        <w:t>采购包最高限价（元）: 570,700.00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未央区2025年度重度污染耕地严格管控</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570,700.00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标的名称：未央区2025年度重度污染耕地严格管控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4"/>
                <w:b/>
              </w:rPr>
              <w:t>、项目背景与目标</w:t>
            </w:r>
          </w:p>
          <w:p>
            <w:pPr>
              <w:pStyle w:val="null3"/>
              <w:ind w:firstLine="480"/>
              <w:jc w:val="both"/>
            </w:pPr>
            <w:r>
              <w:rPr>
                <w:rFonts w:ascii="仿宋_GB2312" w:hAnsi="仿宋_GB2312" w:cs="仿宋_GB2312" w:eastAsia="仿宋_GB2312"/>
                <w:sz w:val="24"/>
              </w:rPr>
              <w:t>耕地是保障国家粮食安全和生态安全的基石。随着工业化、城市化进程加快，我区部分耕地受到重金属污染，其中以镉（</w:t>
            </w:r>
            <w:r>
              <w:rPr>
                <w:rFonts w:ascii="仿宋_GB2312" w:hAnsi="仿宋_GB2312" w:cs="仿宋_GB2312" w:eastAsia="仿宋_GB2312"/>
                <w:sz w:val="24"/>
              </w:rPr>
              <w:t>Cd）污染问题尤为突出。根据详查结果，全区共有严格管控类耕地（重度污染）437.18亩，主要分布在未央宫街道讲南村、汉城街道罗寨村、樊寨村及汉城湖风景区等区域，土壤镉含量最高达5.155mg/kg，远超《土壤环境质量农用地土壤污染风险管控标准（试行）》（GB 15618—2018）的风险管控值（3.0mg/kg）。我区涉及的严格管控类耕地位于未央宫街道讲南村、汉城街道罗寨村、樊寨村及汉城湖风景区周边，地处城市建成区边缘，人口密集、开发活跃。此项工作不仅是技术修复问题，更是关乎粮食安全、生态安全和城市治理能力的重大政治任务。</w:t>
            </w:r>
          </w:p>
          <w:p>
            <w:pPr>
              <w:pStyle w:val="null3"/>
              <w:ind w:firstLine="480"/>
              <w:jc w:val="both"/>
            </w:pPr>
            <w:r>
              <w:rPr>
                <w:rFonts w:ascii="仿宋_GB2312" w:hAnsi="仿宋_GB2312" w:cs="仿宋_GB2312" w:eastAsia="仿宋_GB2312"/>
                <w:sz w:val="24"/>
              </w:rPr>
              <w:t>为深入贯彻落实《土壤污染防治法》及省、市关于受污染耕地安全利用的工作部署，我区于</w:t>
            </w:r>
            <w:r>
              <w:rPr>
                <w:rFonts w:ascii="仿宋_GB2312" w:hAnsi="仿宋_GB2312" w:cs="仿宋_GB2312" w:eastAsia="仿宋_GB2312"/>
                <w:sz w:val="24"/>
              </w:rPr>
              <w:t>2024年启动了严格管控类耕地治理项目。本项目旨在通过系统性的技术试验与措施落地，完成既定区域的种植结构调整，杜绝食用农产品生产，并探索形成一套适用于本地的、可复制推广的综合管控技术模式。</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实施内容</w:t>
            </w:r>
          </w:p>
          <w:p>
            <w:pPr>
              <w:pStyle w:val="null3"/>
              <w:ind w:firstLine="480"/>
              <w:jc w:val="both"/>
            </w:pPr>
            <w:r>
              <w:rPr>
                <w:rFonts w:ascii="仿宋_GB2312" w:hAnsi="仿宋_GB2312" w:cs="仿宋_GB2312" w:eastAsia="仿宋_GB2312"/>
                <w:sz w:val="24"/>
              </w:rPr>
              <w:t>1、土壤改良与钝化阻控</w:t>
            </w:r>
          </w:p>
          <w:p>
            <w:pPr>
              <w:pStyle w:val="null3"/>
              <w:ind w:firstLine="480"/>
              <w:jc w:val="both"/>
            </w:pPr>
            <w:r>
              <w:rPr>
                <w:rFonts w:ascii="仿宋_GB2312" w:hAnsi="仿宋_GB2312" w:cs="仿宋_GB2312" w:eastAsia="仿宋_GB2312"/>
                <w:sz w:val="24"/>
              </w:rPr>
              <w:t>强化土壤改良与钝化阻控，精准降低耕地污染风险。聚焦未央宫街道讲南村、汉城街道樊寨村、罗寨村</w:t>
            </w:r>
            <w:r>
              <w:rPr>
                <w:rFonts w:ascii="仿宋_GB2312" w:hAnsi="仿宋_GB2312" w:cs="仿宋_GB2312" w:eastAsia="仿宋_GB2312"/>
                <w:sz w:val="24"/>
              </w:rPr>
              <w:t>437.18亩重度镉污染严格管控类耕地，坚持源头管控、精准施治，综合运用土壤调理、钝化改良、物理稀释、肥力提升等集成技术，系统降低土壤重金属有效性，阻断镉向作物迁移路径。樊寨村优化升级无人机喷施技术，采用有机硅‑硒‑枯草芽孢杆菌复合调理剂，按照科学配比实施生长季三次精准喷施，严格把握作业时段与环境条件，大幅提升药剂附着率与钝化效果，推动有效态镉削减率稳步提升；讲南村持续推广高效钝化技术，施用700℃高温热解玉米秸秆生物炭，结合30厘米深翻作业实现药剂与土壤充分混匀，高效固定土壤中重金属，同步增施商品有机肥与腐殖酸，全面改善土壤团粒结构、提升缓冲性能与保水保肥能力；罗寨村针对镉污染浓度较高地块，实施30厘米以上深层翻耕作业，通过物理稀释作用有效降低耕作层镉含量，同步配套施用有机肥与复合肥，快速修复土壤地力、稳定理化性状，为后续植物修复与安全利用创造良好土壤环境。</w:t>
            </w:r>
          </w:p>
          <w:p>
            <w:pPr>
              <w:pStyle w:val="null3"/>
              <w:ind w:firstLine="480"/>
              <w:jc w:val="both"/>
            </w:pPr>
            <w:r>
              <w:rPr>
                <w:rFonts w:ascii="仿宋_GB2312" w:hAnsi="仿宋_GB2312" w:cs="仿宋_GB2312" w:eastAsia="仿宋_GB2312"/>
                <w:sz w:val="24"/>
              </w:rPr>
              <w:t>2、严格遵循非食用、不进入食物链管控原则，构建“富集修复+弱钝化修复”一体化综合治理模式，推动受污染耕地从被动风险管控，向主动治理、高效可持续利用转变。</w:t>
            </w:r>
          </w:p>
          <w:p>
            <w:pPr>
              <w:pStyle w:val="null3"/>
              <w:ind w:firstLine="480"/>
              <w:jc w:val="both"/>
            </w:pPr>
            <w:r>
              <w:rPr>
                <w:rFonts w:ascii="仿宋_GB2312" w:hAnsi="仿宋_GB2312" w:cs="仿宋_GB2312" w:eastAsia="仿宋_GB2312"/>
                <w:sz w:val="24"/>
              </w:rPr>
              <w:t>在樊寨村</w:t>
            </w:r>
            <w:r>
              <w:rPr>
                <w:rFonts w:ascii="仿宋_GB2312" w:hAnsi="仿宋_GB2312" w:cs="仿宋_GB2312" w:eastAsia="仿宋_GB2312"/>
                <w:sz w:val="24"/>
              </w:rPr>
              <w:t>5亩波斯菊试验种植成功基础上，稳定保留波斯菊种植规模，配套新增5亩东南景天等重金属富集能力强、抗逆适应性好的植被品种，持续优化种植结构与田间景观布局。在讲南村持续推广生物炭+波斯菊协同修复技术，利用生物炭钝化固定土壤重金属，通过富集型植物吸收提取土壤镉污染物；行间套种白三叶绿肥，抑制杂草生长、改良土壤理化性状、提升土壤有机质。</w:t>
            </w:r>
          </w:p>
          <w:p>
            <w:pPr>
              <w:pStyle w:val="null3"/>
              <w:ind w:firstLine="480"/>
              <w:jc w:val="both"/>
            </w:pPr>
            <w:r>
              <w:rPr>
                <w:rFonts w:ascii="仿宋_GB2312" w:hAnsi="仿宋_GB2312" w:cs="仿宋_GB2312" w:eastAsia="仿宋_GB2312"/>
                <w:sz w:val="24"/>
              </w:rPr>
              <w:t>同步建立重金属钝化固定、植物富集提取、耕地地力提升三重防控体系，系统化提升土壤修复成效，稳步提高土地节约集约利用水平。</w:t>
            </w:r>
          </w:p>
          <w:p>
            <w:pPr>
              <w:pStyle w:val="null3"/>
              <w:ind w:firstLine="480"/>
              <w:jc w:val="both"/>
            </w:pPr>
            <w:r>
              <w:rPr>
                <w:rFonts w:ascii="仿宋_GB2312" w:hAnsi="仿宋_GB2312" w:cs="仿宋_GB2312" w:eastAsia="仿宋_GB2312"/>
                <w:sz w:val="24"/>
              </w:rPr>
              <w:t>3、空间利用措施</w:t>
            </w:r>
          </w:p>
          <w:p>
            <w:pPr>
              <w:pStyle w:val="null3"/>
              <w:ind w:firstLine="480"/>
              <w:jc w:val="both"/>
            </w:pPr>
            <w:r>
              <w:rPr>
                <w:rFonts w:ascii="仿宋_GB2312" w:hAnsi="仿宋_GB2312" w:cs="仿宋_GB2312" w:eastAsia="仿宋_GB2312"/>
                <w:sz w:val="24"/>
              </w:rPr>
              <w:t>稳步推进蓖麻安全利用种植，突出休耕空间高效利用，探索污染耕地可持续利用路径。以罗寨村</w:t>
            </w:r>
            <w:r>
              <w:rPr>
                <w:rFonts w:ascii="仿宋_GB2312" w:hAnsi="仿宋_GB2312" w:cs="仿宋_GB2312" w:eastAsia="仿宋_GB2312"/>
                <w:sz w:val="24"/>
              </w:rPr>
              <w:t>25.63亩重度污染耕地为试点，重点利用田埂、沟渠边坡、边角地、撂荒地等零散闲置空间开展蓖麻种植，不占用常规耕作层、不改变耕地管控属性，实现污染地块 “应种尽种、空间用尽”。依托当地中性至微碱性土壤条件，按照技术规程做好55℃温汤浸种、钼酸铵+硼酸包衣、25℃恒温催芽等种子处理，确保出苗整齐；根据地块条件，合理确定行距株距与播种深度，做到规范定植。生育期内抓好查苗补苗、间苗定苗、人工除草、花期追肥、病虫害绿色防控等日常管理，成熟后分批次采收，避免植株倒伏与籽粒散落。同步采用无人机喷施硒肥、微生物菌剂、叶面阻控剂等措施，减少镉向地上部位转移。种植区设置围挡隔离，安排专人日常巡查，建立种植、管护、监测全过程台账；蓖麻秸秆、残体全部统一收集、密闭转运、无害化焚烧，严防二次污染。按节点监测土壤有效态镉及植株不同部位镉含量，客观评估修复效果与利用效益，形成技术可操作、过程可监管、成效可检验的污染耕地安全利用模式。</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其他</w:t>
            </w:r>
          </w:p>
          <w:p>
            <w:pPr>
              <w:pStyle w:val="null3"/>
              <w:ind w:firstLine="480"/>
              <w:jc w:val="both"/>
            </w:pPr>
            <w:r>
              <w:rPr>
                <w:rFonts w:ascii="仿宋_GB2312" w:hAnsi="仿宋_GB2312" w:cs="仿宋_GB2312" w:eastAsia="仿宋_GB2312"/>
                <w:sz w:val="24"/>
              </w:rPr>
              <w:t>（一）成果交付要求</w:t>
            </w:r>
          </w:p>
          <w:p>
            <w:pPr>
              <w:pStyle w:val="null3"/>
              <w:ind w:firstLine="480"/>
              <w:jc w:val="both"/>
            </w:pPr>
            <w:r>
              <w:rPr>
                <w:rFonts w:ascii="仿宋_GB2312" w:hAnsi="仿宋_GB2312" w:cs="仿宋_GB2312" w:eastAsia="仿宋_GB2312"/>
                <w:sz w:val="24"/>
              </w:rPr>
              <w:t>需达到采购人对项目的具体要求。</w:t>
            </w:r>
          </w:p>
          <w:p>
            <w:pPr>
              <w:pStyle w:val="null3"/>
              <w:ind w:firstLine="480"/>
              <w:jc w:val="both"/>
            </w:pPr>
            <w:r>
              <w:rPr>
                <w:rFonts w:ascii="仿宋_GB2312" w:hAnsi="仿宋_GB2312" w:cs="仿宋_GB2312" w:eastAsia="仿宋_GB2312"/>
                <w:sz w:val="24"/>
              </w:rPr>
              <w:t>（二）质量验收标准或规范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1）服务期满后按照成交供应商所提供的资料及数据进行验收。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2）最终验收：自合同签订之日起至完成全部项目内容，需按照采购人确定的时间完成并验收合格，验收合格后，填写验收单。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3）验收和评价方式：</w:t>
            </w:r>
          </w:p>
          <w:p>
            <w:pPr>
              <w:pStyle w:val="null3"/>
              <w:ind w:firstLine="480"/>
              <w:jc w:val="both"/>
            </w:pPr>
            <w:r>
              <w:rPr>
                <w:rFonts w:ascii="仿宋_GB2312" w:hAnsi="仿宋_GB2312" w:cs="仿宋_GB2312" w:eastAsia="仿宋_GB2312"/>
                <w:sz w:val="24"/>
              </w:rPr>
              <w:t>3.1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pPr>
              <w:pStyle w:val="null3"/>
              <w:ind w:firstLine="480"/>
              <w:jc w:val="both"/>
            </w:pPr>
            <w:r>
              <w:rPr>
                <w:rFonts w:ascii="仿宋_GB2312" w:hAnsi="仿宋_GB2312" w:cs="仿宋_GB2312" w:eastAsia="仿宋_GB2312"/>
                <w:sz w:val="24"/>
              </w:rPr>
              <w:t>3.2若发现乙方有弄虚作假的，及在项目实施阶段故意或随意夸大服务，本项目合同解除，乙方赔偿甲方相应的损失。</w:t>
            </w:r>
          </w:p>
          <w:p>
            <w:pPr>
              <w:pStyle w:val="null3"/>
              <w:ind w:firstLine="480"/>
              <w:jc w:val="both"/>
            </w:pPr>
            <w:r>
              <w:rPr>
                <w:rFonts w:ascii="仿宋_GB2312" w:hAnsi="仿宋_GB2312" w:cs="仿宋_GB2312" w:eastAsia="仿宋_GB2312"/>
                <w:sz w:val="24"/>
              </w:rPr>
              <w:t>3.3验收标准：按磋商文件、磋商响应文件等服务指标进行逐项验收，各项指标均应符合验收标准及要求。</w:t>
            </w:r>
          </w:p>
          <w:p>
            <w:pPr>
              <w:pStyle w:val="null3"/>
              <w:ind w:firstLine="480"/>
              <w:jc w:val="both"/>
            </w:pPr>
            <w:r>
              <w:rPr>
                <w:rFonts w:ascii="仿宋_GB2312" w:hAnsi="仿宋_GB2312" w:cs="仿宋_GB2312" w:eastAsia="仿宋_GB2312"/>
                <w:sz w:val="24"/>
              </w:rPr>
              <w:t>3.4验收合格后，填写验收单，双方盖章、签字生效。</w:t>
            </w:r>
          </w:p>
          <w:p>
            <w:pPr>
              <w:pStyle w:val="null3"/>
              <w:ind w:firstLine="480"/>
              <w:jc w:val="both"/>
            </w:pPr>
            <w:r>
              <w:rPr>
                <w:rFonts w:ascii="仿宋_GB2312" w:hAnsi="仿宋_GB2312" w:cs="仿宋_GB2312" w:eastAsia="仿宋_GB2312"/>
                <w:sz w:val="24"/>
              </w:rPr>
              <w:t>3.5验收依据：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1）合同文本。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2）磋商响应文件、磋商文件、澄清函。</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3）国家和行业制定的相应的标准和规范。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项目实施完成，申请验收，成果交付验收合格后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1.有效的主体资格证明：具有独立承担民事责任能力的法人、其他组织或自然人并出具合法有效的营业执照或事业单位法人证书等国家规定的相关证明，自然人参与的提供其身份证明。2.基本资格条件：提供《基本资格条件承诺函》，供应商应对承诺内容的真实性、合法性、有效性负责。若虚假承诺的，视同为“提供虚假材料谋取中标、成交”的违法行为，根据《中华人民共和国政府采购法》等法律法规追究相应责任。备注：不提供《基本资格条件承诺函》的供应商需提交如下证明材料：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c.税收缴纳证明：提供磋商响应文件递交截止时间前一年内已缴纳的至少一个月的纳税证明或完税证明，依法免税的单位应提供相关证明材料。d.参加政府采购活动前三年内，在经营活动中没有重大违法记录的书面声明。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供应商认为有必要说明的其它内容或资料.docx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试验方案</w:t>
            </w:r>
          </w:p>
        </w:tc>
        <w:tc>
          <w:tcPr>
            <w:tcW w:type="dxa" w:w="2492"/>
          </w:tcPr>
          <w:p>
            <w:pPr>
              <w:pStyle w:val="null3"/>
            </w:pPr>
            <w:r>
              <w:rPr>
                <w:rFonts w:ascii="仿宋_GB2312" w:hAnsi="仿宋_GB2312" w:cs="仿宋_GB2312" w:eastAsia="仿宋_GB2312"/>
              </w:rPr>
              <w:t>根据供应商提供的①政策法规解读；②试验措施的依据；③与当地农业生产现状的适宜性；④试验技术的可操作性和可复制推广性。 评审标准：每一项内容描述详细，切实可行符合项目实际内容得4分，合计得16分。内容①～④项任意一项缺项扣4分，扣完为止；内容①～④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根据供应商提供的①治理目标；②目标实施方案；③实施进度计划；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根据供应商提供的①项目实施质量保证措施；②检测质量保证措施；③项目成果质量保证措施。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相关专业技术培训证书和被市级及以上单位聘任为相关专家的计2分，未提供不得分；2、拟派项目技术负责人具有相关专业高级及以上职称的计2分，未提供不得分；3、拟派项目质量负责人具有相关专业高级及以上职称的计2分，未提供不得分；4、拟派项目组主要人员（不含上述人员）中，具有相关专业高级及以上职称的人员，每提供1人计2分，具有相关专业中级及以上职称的人员，每提供1人计1分，满分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根据供应商提供①运输工具；②人员素质；③管理水平；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投入设备使用情况</w:t>
            </w:r>
          </w:p>
        </w:tc>
        <w:tc>
          <w:tcPr>
            <w:tcW w:type="dxa" w:w="2492"/>
          </w:tcPr>
          <w:p>
            <w:pPr>
              <w:pStyle w:val="null3"/>
            </w:pPr>
            <w:r>
              <w:rPr>
                <w:rFonts w:ascii="仿宋_GB2312" w:hAnsi="仿宋_GB2312" w:cs="仿宋_GB2312" w:eastAsia="仿宋_GB2312"/>
              </w:rPr>
              <w:t>1、供应商需具备农业土壤实验分析相关设备，每提供一项设备计1分，共3分。2、供应商需提供符合项目需求的野外实验或检测系统设备（需提供系统设备的购置发票或采购合同，每提供一个得1分，共计3分，不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根据供应商提供的①服务内容；②服务方式；③服务响应时间；④服务团队配置；⑤服务管理及质量保证。 评审标准：每一项内容描述详细，切实可行符合项目实际内容得1分，合计得5分。内容①～⑤项任意一项缺项扣1分，扣完为止；内容①～⑤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重点、难点分析及应急措施</w:t>
            </w:r>
          </w:p>
        </w:tc>
        <w:tc>
          <w:tcPr>
            <w:tcW w:type="dxa" w:w="2492"/>
          </w:tcPr>
          <w:p>
            <w:pPr>
              <w:pStyle w:val="null3"/>
            </w:pPr>
            <w:r>
              <w:rPr>
                <w:rFonts w:ascii="仿宋_GB2312" w:hAnsi="仿宋_GB2312" w:cs="仿宋_GB2312" w:eastAsia="仿宋_GB2312"/>
              </w:rPr>
              <w:t>根据供应商提供的①重点分析；②难点分析；③合理化建议；④应急措施。 评审标准：每一项内容描述详细，切实可行符合项目实际内容得1分，合计得4分。内容①～④项任意一项缺项扣1分，扣完为止；内容①～④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详见附件：供应商认为有必要说明的其它内容或资料.docx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