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版本号：ZZX2026-CS-ZC00220260429001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2026年度老年人意外伤害险(三次)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ZZX2026-CS-ZC002</w:t>
      </w:r>
      <w:r>
        <w:br/>
      </w:r>
      <w:r>
        <w:br/>
      </w:r>
      <w:r>
        <w:br/>
      </w:r>
    </w:p>
    <w:p>
      <w:pPr>
        <w:pStyle w:val="null3"/>
        <w:jc w:val="center"/>
        <w:outlineLvl w:val="2"/>
      </w:pPr>
      <w:r>
        <w:rPr>
          <w:rFonts w:ascii="仿宋_GB2312" w:hAnsi="仿宋_GB2312" w:cs="仿宋_GB2312" w:eastAsia="仿宋_GB2312"/>
          <w:sz w:val="28"/>
          <w:b/>
        </w:rPr>
        <w:t>西安市未央区老龄工作发展服务中心</w:t>
      </w:r>
    </w:p>
    <w:p>
      <w:pPr>
        <w:pStyle w:val="null3"/>
        <w:jc w:val="center"/>
        <w:outlineLvl w:val="2"/>
      </w:pPr>
      <w:r>
        <w:rPr>
          <w:rFonts w:ascii="仿宋_GB2312" w:hAnsi="仿宋_GB2312" w:cs="仿宋_GB2312" w:eastAsia="仿宋_GB2312"/>
          <w:sz w:val="28"/>
          <w:b/>
        </w:rPr>
        <w:t>正泽兴（陕西）项目管理有限公司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正泽兴（陕西）项目管理有限公司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西安市未央区老龄工作发展服务中心</w:t>
      </w:r>
      <w:r>
        <w:rPr>
          <w:rFonts w:ascii="仿宋_GB2312" w:hAnsi="仿宋_GB2312" w:cs="仿宋_GB2312" w:eastAsia="仿宋_GB2312"/>
        </w:rPr>
        <w:t>委托，拟对</w:t>
      </w:r>
      <w:r>
        <w:rPr>
          <w:rFonts w:ascii="仿宋_GB2312" w:hAnsi="仿宋_GB2312" w:cs="仿宋_GB2312" w:eastAsia="仿宋_GB2312"/>
        </w:rPr>
        <w:t>2026年度老年人意外伤害险(三次)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ZZX2026-CS-ZC002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2026年度老年人意外伤害险(三次)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2026年度老年人意外伤害险（三次）。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及其身份证扫描件。法定代表人授权他人参加磋商的，须出具法定代表人授权书（附法定代表人、被授权人身份证扫描件；其中被授权人需提供在本单位近6个月内任意一个月的社保缴纳证明材料）</w:t>
      </w:r>
    </w:p>
    <w:p>
      <w:pPr>
        <w:pStyle w:val="null3"/>
      </w:pPr>
      <w:r>
        <w:rPr>
          <w:rFonts w:ascii="仿宋_GB2312" w:hAnsi="仿宋_GB2312" w:cs="仿宋_GB2312" w:eastAsia="仿宋_GB2312"/>
        </w:rPr>
        <w:t>2、保险资质：供应商须具有中国银行保险监督管理委员会颁发的经营保险业务许可证（同一保险机构只允许其总公司或一家分支机构参与磋商）；</w:t>
      </w:r>
    </w:p>
    <w:p>
      <w:pPr>
        <w:pStyle w:val="null3"/>
      </w:pPr>
      <w:r>
        <w:rPr>
          <w:rFonts w:ascii="仿宋_GB2312" w:hAnsi="仿宋_GB2312" w:cs="仿宋_GB2312" w:eastAsia="仿宋_GB2312"/>
        </w:rPr>
        <w:t>3、信用记录：供应商未被“信用中国”网站（www.creditchina.gov.cn）列入失信被执行人和重大税收违法失信主体，未被中国政府采购网（www.ccgp.gov.cn）列入政府采购严重违法失信行为记录名单；（以现场信用记录查询结果为准）</w:t>
      </w:r>
    </w:p>
    <w:p>
      <w:pPr>
        <w:pStyle w:val="null3"/>
      </w:pPr>
      <w:r>
        <w:rPr>
          <w:rFonts w:ascii="仿宋_GB2312" w:hAnsi="仿宋_GB2312" w:cs="仿宋_GB2312" w:eastAsia="仿宋_GB2312"/>
        </w:rPr>
        <w:t>4、联合体：本项目不接受联合体磋商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西安市未央区老龄工作发展服务中心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陕西省西安市未央区方新村未央大厦B座12层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杨颖智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029-86335215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正泽兴（陕西）项目管理有限公司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陕西省西安市经济技术开发区凤城八路风景御园20号楼4层403室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董梦蝶、刘阿丹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029-86676832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未央区财政局采购中心</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采购包1：349,420.00元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成交单位在领取成交通知书前，须向采购代理机构一次性支付招标代理服务费。 服务费账号： 户名：正泽兴（陕西）项目管理有限公司 开户行名称：招商银行股份有限公司西安文景路支行 开户行账号：129916457410001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西安市未央区老龄工作发展服务中心</w:t>
      </w:r>
      <w:r>
        <w:rPr>
          <w:rFonts w:ascii="仿宋_GB2312" w:hAnsi="仿宋_GB2312" w:cs="仿宋_GB2312" w:eastAsia="仿宋_GB2312"/>
        </w:rPr>
        <w:t>和</w:t>
      </w:r>
      <w:r>
        <w:rPr>
          <w:rFonts w:ascii="仿宋_GB2312" w:hAnsi="仿宋_GB2312" w:cs="仿宋_GB2312" w:eastAsia="仿宋_GB2312"/>
        </w:rPr>
        <w:t>正泽兴（陕西）项目管理有限公司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西安市未央区老龄工作发展服务中心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正泽兴（陕西）项目管理有限公司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西安市未央区老龄工作发展服务中心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正泽兴（陕西）项目管理有限公司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1、竞争性磋商文件、澄清表（函）、乙方磋商响应文件； 2、本合同及附件文本； 3、国家相应的标准、规范。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正泽兴（陕西）项目管理有限公司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正泽兴（陕西）项目管理有限公司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正泽兴（陕西）项目管理有限公司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联系人：董梦蝶</w:t>
      </w:r>
    </w:p>
    <w:p>
      <w:pPr>
        <w:pStyle w:val="null3"/>
      </w:pPr>
      <w:r>
        <w:rPr>
          <w:rFonts w:ascii="仿宋_GB2312" w:hAnsi="仿宋_GB2312" w:cs="仿宋_GB2312" w:eastAsia="仿宋_GB2312"/>
        </w:rPr>
        <w:t>联系电话：029-86676832</w:t>
      </w:r>
    </w:p>
    <w:p>
      <w:pPr>
        <w:pStyle w:val="null3"/>
      </w:pPr>
      <w:r>
        <w:rPr>
          <w:rFonts w:ascii="仿宋_GB2312" w:hAnsi="仿宋_GB2312" w:cs="仿宋_GB2312" w:eastAsia="仿宋_GB2312"/>
        </w:rPr>
        <w:t>地址：陕西省西安市经济技术开发区凤城八路风景御园20号楼4层403室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2026年度老年人意外伤害险（三次）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349,420.00</w:t>
      </w:r>
    </w:p>
    <w:p>
      <w:pPr>
        <w:pStyle w:val="null3"/>
      </w:pPr>
      <w:r>
        <w:rPr>
          <w:rFonts w:ascii="仿宋_GB2312" w:hAnsi="仿宋_GB2312" w:cs="仿宋_GB2312" w:eastAsia="仿宋_GB2312"/>
        </w:rPr>
        <w:t>采购包最高限价（元）: 349,420.00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2026年度老年人意外伤害险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349,420.00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标的名称：2026年度老年人意外伤害险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jc w:val="both"/>
            </w:pPr>
            <w:r>
              <w:rPr>
                <w:rFonts w:ascii="仿宋_GB2312" w:hAnsi="仿宋_GB2312" w:cs="仿宋_GB2312" w:eastAsia="仿宋_GB2312"/>
                <w:sz w:val="24"/>
                <w:b/>
                <w:color w:val="030303"/>
                <w:shd w:fill="FFFFFF" w:val="clear"/>
              </w:rPr>
              <w:t>一、</w:t>
            </w:r>
            <w:r>
              <w:rPr>
                <w:rFonts w:ascii="仿宋_GB2312" w:hAnsi="仿宋_GB2312" w:cs="仿宋_GB2312" w:eastAsia="仿宋_GB2312"/>
                <w:sz w:val="24"/>
                <w:b/>
                <w:color w:val="030303"/>
                <w:shd w:fill="FFFFFF" w:val="clear"/>
              </w:rPr>
              <w:t>项目概况</w:t>
            </w:r>
          </w:p>
          <w:p>
            <w:pPr>
              <w:pStyle w:val="null3"/>
              <w:spacing w:before="105"/>
              <w:ind w:firstLine="420"/>
              <w:jc w:val="both"/>
            </w:pPr>
            <w:r>
              <w:rPr>
                <w:rFonts w:ascii="仿宋_GB2312" w:hAnsi="仿宋_GB2312" w:cs="仿宋_GB2312" w:eastAsia="仿宋_GB2312"/>
                <w:sz w:val="24"/>
              </w:rPr>
              <w:t>为贯彻落实市民政局等</w:t>
            </w:r>
            <w:r>
              <w:rPr>
                <w:rFonts w:ascii="仿宋_GB2312" w:hAnsi="仿宋_GB2312" w:cs="仿宋_GB2312" w:eastAsia="仿宋_GB2312"/>
                <w:sz w:val="24"/>
              </w:rPr>
              <w:t>13</w:t>
            </w:r>
            <w:r>
              <w:rPr>
                <w:rFonts w:ascii="仿宋_GB2312" w:hAnsi="仿宋_GB2312" w:cs="仿宋_GB2312" w:eastAsia="仿宋_GB2312"/>
                <w:sz w:val="24"/>
              </w:rPr>
              <w:t>个部门联合印发的《关于发布西安市基本养老服务清单的通知》（市民发〔</w:t>
            </w:r>
            <w:r>
              <w:rPr>
                <w:rFonts w:ascii="仿宋_GB2312" w:hAnsi="仿宋_GB2312" w:cs="仿宋_GB2312" w:eastAsia="仿宋_GB2312"/>
                <w:sz w:val="24"/>
              </w:rPr>
              <w:t>2024</w:t>
            </w:r>
            <w:r>
              <w:rPr>
                <w:rFonts w:ascii="仿宋_GB2312" w:hAnsi="仿宋_GB2312" w:cs="仿宋_GB2312" w:eastAsia="仿宋_GB2312"/>
                <w:sz w:val="24"/>
              </w:rPr>
              <w:t>〕</w:t>
            </w:r>
            <w:r>
              <w:rPr>
                <w:rFonts w:ascii="仿宋_GB2312" w:hAnsi="仿宋_GB2312" w:cs="仿宋_GB2312" w:eastAsia="仿宋_GB2312"/>
                <w:sz w:val="24"/>
              </w:rPr>
              <w:t>61</w:t>
            </w:r>
            <w:r>
              <w:rPr>
                <w:rFonts w:ascii="仿宋_GB2312" w:hAnsi="仿宋_GB2312" w:cs="仿宋_GB2312" w:eastAsia="仿宋_GB2312"/>
                <w:sz w:val="24"/>
              </w:rPr>
              <w:t>号）精神，推进基本养老服务均衡优质供给，增强老年人及其家庭的抗风险能力，</w:t>
            </w:r>
            <w:r>
              <w:rPr>
                <w:rFonts w:ascii="仿宋_GB2312" w:hAnsi="仿宋_GB2312" w:cs="仿宋_GB2312" w:eastAsia="仿宋_GB2312"/>
                <w:sz w:val="24"/>
              </w:rPr>
              <w:t>政府出资为符合</w:t>
            </w:r>
            <w:r>
              <w:rPr>
                <w:rFonts w:ascii="仿宋_GB2312" w:hAnsi="仿宋_GB2312" w:cs="仿宋_GB2312" w:eastAsia="仿宋_GB2312"/>
                <w:sz w:val="24"/>
              </w:rPr>
              <w:t>“政府补贴人群”条件之一的老年人购买一份保险。现通过竞争性磋商方式，择优选取一家具有充足赔付能力、综合服务实力强的保险公司，作为承接老年人意外伤害保险的承保机构，开展承保区域内政策宣传、现场勘查、事故跟踪、资料收集、审核单证、赔付方案、赔付资金兑现等工作。</w:t>
            </w:r>
          </w:p>
          <w:p>
            <w:pPr>
              <w:pStyle w:val="null3"/>
              <w:spacing w:before="105"/>
              <w:ind w:firstLine="420"/>
            </w:pPr>
            <w:r>
              <w:rPr>
                <w:rFonts w:ascii="仿宋_GB2312" w:hAnsi="仿宋_GB2312" w:cs="仿宋_GB2312" w:eastAsia="仿宋_GB2312"/>
                <w:sz w:val="24"/>
                <w:b/>
                <w:color w:val="030303"/>
                <w:shd w:fill="FFFFFF" w:val="clear"/>
              </w:rPr>
              <w:t>二、参保对象</w:t>
            </w:r>
          </w:p>
          <w:p>
            <w:pPr>
              <w:pStyle w:val="null3"/>
              <w:spacing w:before="105"/>
              <w:ind w:firstLine="420"/>
            </w:pPr>
            <w:r>
              <w:rPr>
                <w:rFonts w:ascii="仿宋_GB2312" w:hAnsi="仿宋_GB2312" w:cs="仿宋_GB2312" w:eastAsia="仿宋_GB2312"/>
                <w:sz w:val="24"/>
              </w:rPr>
              <w:t>（一）西安市户籍年满</w:t>
            </w:r>
            <w:r>
              <w:rPr>
                <w:rFonts w:ascii="仿宋_GB2312" w:hAnsi="仿宋_GB2312" w:cs="仿宋_GB2312" w:eastAsia="仿宋_GB2312"/>
                <w:sz w:val="24"/>
              </w:rPr>
              <w:t xml:space="preserve">60 </w:t>
            </w:r>
            <w:r>
              <w:rPr>
                <w:rFonts w:ascii="仿宋_GB2312" w:hAnsi="仿宋_GB2312" w:cs="仿宋_GB2312" w:eastAsia="仿宋_GB2312"/>
                <w:sz w:val="24"/>
              </w:rPr>
              <w:t>周岁及以上老年人；</w:t>
            </w:r>
          </w:p>
          <w:p>
            <w:pPr>
              <w:pStyle w:val="null3"/>
              <w:spacing w:before="105"/>
              <w:ind w:firstLine="420"/>
            </w:pPr>
            <w:r>
              <w:rPr>
                <w:rFonts w:ascii="仿宋_GB2312" w:hAnsi="仿宋_GB2312" w:cs="仿宋_GB2312" w:eastAsia="仿宋_GB2312"/>
                <w:sz w:val="24"/>
              </w:rPr>
              <w:t>（二）在西安居住的非本市户籍</w:t>
            </w:r>
            <w:r>
              <w:rPr>
                <w:rFonts w:ascii="仿宋_GB2312" w:hAnsi="仿宋_GB2312" w:cs="仿宋_GB2312" w:eastAsia="仿宋_GB2312"/>
                <w:sz w:val="24"/>
              </w:rPr>
              <w:t xml:space="preserve"> 60 周岁及以上老年人。</w:t>
            </w:r>
          </w:p>
          <w:p>
            <w:pPr>
              <w:pStyle w:val="null3"/>
              <w:jc w:val="left"/>
            </w:pPr>
            <w:r>
              <w:rPr>
                <w:rFonts w:ascii="仿宋_GB2312" w:hAnsi="仿宋_GB2312" w:cs="仿宋_GB2312" w:eastAsia="仿宋_GB2312"/>
                <w:sz w:val="24"/>
                <w:b/>
              </w:rPr>
              <w:t>三、</w:t>
            </w:r>
            <w:r>
              <w:rPr>
                <w:rFonts w:ascii="仿宋_GB2312" w:hAnsi="仿宋_GB2312" w:cs="仿宋_GB2312" w:eastAsia="仿宋_GB2312"/>
                <w:sz w:val="24"/>
                <w:b/>
              </w:rPr>
              <w:t>“政府补贴人群”范围</w:t>
            </w:r>
          </w:p>
          <w:p>
            <w:pPr>
              <w:pStyle w:val="null3"/>
              <w:ind w:firstLine="480"/>
              <w:jc w:val="left"/>
            </w:pPr>
            <w:r>
              <w:rPr>
                <w:rFonts w:ascii="仿宋_GB2312" w:hAnsi="仿宋_GB2312" w:cs="仿宋_GB2312" w:eastAsia="仿宋_GB2312"/>
                <w:sz w:val="24"/>
              </w:rPr>
              <w:t>“政府补贴人群”是指具有西安市户籍且年满60周岁及以上符合下列条件之一的居家养老的老年人，由政府出资给每位老人每年购买1份意外伤害保险。</w:t>
            </w:r>
          </w:p>
          <w:p>
            <w:pPr>
              <w:pStyle w:val="null3"/>
              <w:ind w:firstLine="480"/>
              <w:jc w:val="left"/>
            </w:pPr>
            <w:r>
              <w:rPr>
                <w:rFonts w:ascii="仿宋_GB2312" w:hAnsi="仿宋_GB2312" w:cs="仿宋_GB2312" w:eastAsia="仿宋_GB2312"/>
                <w:sz w:val="24"/>
              </w:rPr>
              <w:t>（一）享受城乡最低生活保障待遇人员；</w:t>
            </w:r>
          </w:p>
          <w:p>
            <w:pPr>
              <w:pStyle w:val="null3"/>
              <w:ind w:firstLine="480"/>
              <w:jc w:val="left"/>
            </w:pPr>
            <w:r>
              <w:rPr>
                <w:rFonts w:ascii="仿宋_GB2312" w:hAnsi="仿宋_GB2312" w:cs="仿宋_GB2312" w:eastAsia="仿宋_GB2312"/>
                <w:sz w:val="24"/>
              </w:rPr>
              <w:t>（二）城乡特困供养人员；</w:t>
            </w:r>
          </w:p>
          <w:p>
            <w:pPr>
              <w:pStyle w:val="null3"/>
              <w:ind w:firstLine="480"/>
              <w:jc w:val="left"/>
            </w:pPr>
            <w:r>
              <w:rPr>
                <w:rFonts w:ascii="仿宋_GB2312" w:hAnsi="仿宋_GB2312" w:cs="仿宋_GB2312" w:eastAsia="仿宋_GB2312"/>
                <w:sz w:val="24"/>
              </w:rPr>
              <w:t>（三）享受国家定期抚恤补助优抚对象；</w:t>
            </w:r>
          </w:p>
          <w:p>
            <w:pPr>
              <w:pStyle w:val="null3"/>
              <w:ind w:firstLine="480"/>
              <w:jc w:val="left"/>
            </w:pPr>
            <w:r>
              <w:rPr>
                <w:rFonts w:ascii="仿宋_GB2312" w:hAnsi="仿宋_GB2312" w:cs="仿宋_GB2312" w:eastAsia="仿宋_GB2312"/>
                <w:sz w:val="24"/>
              </w:rPr>
              <w:t>（四）</w:t>
            </w:r>
            <w:r>
              <w:rPr>
                <w:rFonts w:ascii="仿宋_GB2312" w:hAnsi="仿宋_GB2312" w:cs="仿宋_GB2312" w:eastAsia="仿宋_GB2312"/>
                <w:sz w:val="24"/>
              </w:rPr>
              <w:t>80周岁及以上居家养老的老年人。</w:t>
            </w:r>
          </w:p>
          <w:p>
            <w:pPr>
              <w:pStyle w:val="null3"/>
              <w:jc w:val="both"/>
            </w:pPr>
            <w:r>
              <w:rPr>
                <w:rFonts w:ascii="仿宋_GB2312" w:hAnsi="仿宋_GB2312" w:cs="仿宋_GB2312" w:eastAsia="仿宋_GB2312"/>
                <w:sz w:val="24"/>
                <w:b/>
                <w:color w:val="030303"/>
                <w:shd w:fill="FFFFFF" w:val="clear"/>
              </w:rPr>
              <w:t>四、</w:t>
            </w:r>
            <w:r>
              <w:rPr>
                <w:rFonts w:ascii="仿宋_GB2312" w:hAnsi="仿宋_GB2312" w:cs="仿宋_GB2312" w:eastAsia="仿宋_GB2312"/>
                <w:sz w:val="24"/>
                <w:b/>
                <w:color w:val="030303"/>
                <w:shd w:fill="FFFFFF" w:val="clear"/>
              </w:rPr>
              <w:t>保险</w:t>
            </w:r>
            <w:r>
              <w:rPr>
                <w:rFonts w:ascii="仿宋_GB2312" w:hAnsi="仿宋_GB2312" w:cs="仿宋_GB2312" w:eastAsia="仿宋_GB2312"/>
                <w:sz w:val="24"/>
                <w:b/>
                <w:color w:val="030303"/>
                <w:shd w:fill="FFFFFF" w:val="clear"/>
              </w:rPr>
              <w:t>责任</w:t>
            </w:r>
          </w:p>
          <w:tbl>
            <w:tblPr>
              <w:tblInd w:type="dxa" w:w="120"/>
              <w:tblBorders>
                <w:top w:val="none" w:color="000000" w:sz="4"/>
                <w:left w:val="none" w:color="000000" w:sz="4"/>
                <w:bottom w:val="none" w:color="000000" w:sz="4"/>
                <w:right w:val="none" w:color="000000" w:sz="4"/>
                <w:insideH w:val="none"/>
                <w:insideV w:val="none"/>
              </w:tblBorders>
            </w:tblPr>
            <w:tblGrid>
              <w:gridCol w:w="555"/>
              <w:gridCol w:w="864"/>
              <w:gridCol w:w="1127"/>
            </w:tblGrid>
            <w:tr>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30303"/>
                      <w:shd w:fill="FFFFFF" w:val="clear"/>
                    </w:rPr>
                    <w:t>保障范围</w:t>
                  </w:r>
                </w:p>
              </w:tc>
              <w:tc>
                <w:tcPr>
                  <w:tcW w:type="dxa" w:w="8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30303"/>
                      <w:shd w:fill="FFFFFF" w:val="clear"/>
                    </w:rPr>
                    <w:t>赔付标准</w:t>
                  </w:r>
                </w:p>
              </w:tc>
              <w:tc>
                <w:tcPr>
                  <w:tcW w:type="dxa" w:w="1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30303"/>
                      <w:shd w:fill="FFFFFF" w:val="clear"/>
                    </w:rPr>
                    <w:t>保险金额</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30303"/>
                      <w:shd w:fill="FFFFFF" w:val="clear"/>
                    </w:rPr>
                    <w:t>意外身故保险金</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30303"/>
                      <w:shd w:fill="FFFFFF" w:val="clear"/>
                    </w:rPr>
                    <w:t>身故按保险金额一次性给付</w:t>
                  </w:r>
                </w:p>
              </w:tc>
              <w:tc>
                <w:tcPr>
                  <w:tcW w:type="dxa" w:w="1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30303"/>
                      <w:shd w:fill="FFFFFF" w:val="clear"/>
                    </w:rPr>
                    <w:t>30000元</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30303"/>
                      <w:shd w:fill="FFFFFF" w:val="clear"/>
                    </w:rPr>
                    <w:t>意外伤害伤残保险金</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30303"/>
                      <w:shd w:fill="FFFFFF" w:val="clear"/>
                    </w:rPr>
                    <w:t>按伤残等级比例给付</w:t>
                  </w:r>
                </w:p>
              </w:tc>
              <w:tc>
                <w:tcPr>
                  <w:tcW w:type="dxa" w:w="1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30303"/>
                      <w:shd w:fill="FFFFFF" w:val="clear"/>
                    </w:rPr>
                    <w:t>十级</w:t>
                  </w:r>
                  <w:r>
                    <w:rPr>
                      <w:rFonts w:ascii="仿宋_GB2312" w:hAnsi="仿宋_GB2312" w:cs="仿宋_GB2312" w:eastAsia="仿宋_GB2312"/>
                      <w:sz w:val="24"/>
                      <w:color w:val="030303"/>
                      <w:shd w:fill="FFFFFF" w:val="clear"/>
                    </w:rPr>
                    <w:t>3000元、九级6000元、八级9000元、七级12000元、六级15000元、五级18000元、四级21000元、三级24000元、二级27000元、一级30000元</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30303"/>
                      <w:shd w:fill="FFFFFF" w:val="clear"/>
                    </w:rPr>
                    <w:t>意外伤害医疗费用补助</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30303"/>
                      <w:shd w:fill="FFFFFF" w:val="clear"/>
                    </w:rPr>
                    <w:t>100元以下免赔;100元以上给付比例100%，不超过限额。</w:t>
                  </w:r>
                </w:p>
              </w:tc>
              <w:tc>
                <w:tcPr>
                  <w:tcW w:type="dxa" w:w="1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30303"/>
                      <w:shd w:fill="FFFFFF" w:val="clear"/>
                    </w:rPr>
                    <w:t>5000元</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30303"/>
                      <w:shd w:fill="FFFFFF" w:val="clear"/>
                    </w:rPr>
                    <w:t>意外伤害住院补贴</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30303"/>
                      <w:shd w:fill="FFFFFF" w:val="clear"/>
                    </w:rPr>
                    <w:t>每天给付金额</w:t>
                  </w:r>
                  <w:r>
                    <w:rPr>
                      <w:rFonts w:ascii="仿宋_GB2312" w:hAnsi="仿宋_GB2312" w:cs="仿宋_GB2312" w:eastAsia="仿宋_GB2312"/>
                      <w:sz w:val="24"/>
                      <w:color w:val="030303"/>
                      <w:shd w:fill="FFFFFF" w:val="clear"/>
                    </w:rPr>
                    <w:t>30元，单次以90天为限;累计最高给付180天。</w:t>
                  </w:r>
                </w:p>
              </w:tc>
              <w:tc>
                <w:tcPr>
                  <w:tcW w:type="dxa" w:w="1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30303"/>
                      <w:shd w:fill="FFFFFF" w:val="clear"/>
                    </w:rPr>
                    <w:t>5400元</w:t>
                  </w:r>
                </w:p>
              </w:tc>
            </w:tr>
          </w:tbl>
          <w:p>
            <w:pPr>
              <w:pStyle w:val="null3"/>
              <w:spacing w:before="105"/>
              <w:jc w:val="both"/>
            </w:pPr>
            <w:r>
              <w:rPr>
                <w:rFonts w:ascii="仿宋_GB2312" w:hAnsi="仿宋_GB2312" w:cs="仿宋_GB2312" w:eastAsia="仿宋_GB2312"/>
                <w:sz w:val="24"/>
                <w:b/>
                <w:color w:val="030303"/>
                <w:shd w:fill="FFFFFF" w:val="clear"/>
              </w:rPr>
              <w:t>五、</w:t>
            </w:r>
            <w:r>
              <w:rPr>
                <w:rFonts w:ascii="仿宋_GB2312" w:hAnsi="仿宋_GB2312" w:cs="仿宋_GB2312" w:eastAsia="仿宋_GB2312"/>
                <w:sz w:val="24"/>
                <w:b/>
                <w:color w:val="030303"/>
                <w:shd w:fill="FFFFFF" w:val="clear"/>
              </w:rPr>
              <w:t>保险年度预算金额</w:t>
            </w:r>
          </w:p>
          <w:p>
            <w:pPr>
              <w:pStyle w:val="null3"/>
              <w:spacing w:before="105"/>
              <w:ind w:firstLine="480"/>
              <w:jc w:val="both"/>
            </w:pPr>
            <w:r>
              <w:rPr>
                <w:rFonts w:ascii="仿宋_GB2312" w:hAnsi="仿宋_GB2312" w:cs="仿宋_GB2312" w:eastAsia="仿宋_GB2312"/>
                <w:sz w:val="24"/>
                <w:color w:val="030303"/>
                <w:shd w:fill="FFFFFF" w:val="clear"/>
              </w:rPr>
              <w:t>“政府补贴人群”预计1.7471万人，保险费标准为每人不超过20元/份/年，保险总预算349420.00元，最终以实际参保人数为准。</w:t>
            </w:r>
          </w:p>
          <w:p>
            <w:pPr>
              <w:pStyle w:val="null3"/>
              <w:spacing w:before="105"/>
              <w:jc w:val="both"/>
            </w:pPr>
            <w:r>
              <w:rPr>
                <w:rFonts w:ascii="仿宋_GB2312" w:hAnsi="仿宋_GB2312" w:cs="仿宋_GB2312" w:eastAsia="仿宋_GB2312"/>
                <w:sz w:val="24"/>
                <w:b/>
                <w:color w:val="030303"/>
                <w:shd w:fill="FFFFFF" w:val="clear"/>
              </w:rPr>
              <w:t>六、</w:t>
            </w:r>
            <w:r>
              <w:rPr>
                <w:rFonts w:ascii="仿宋_GB2312" w:hAnsi="仿宋_GB2312" w:cs="仿宋_GB2312" w:eastAsia="仿宋_GB2312"/>
                <w:sz w:val="24"/>
                <w:b/>
                <w:color w:val="030303"/>
                <w:shd w:fill="FFFFFF" w:val="clear"/>
              </w:rPr>
              <w:t>服务要求</w:t>
            </w:r>
          </w:p>
          <w:p>
            <w:pPr>
              <w:pStyle w:val="null3"/>
              <w:spacing w:before="105"/>
              <w:ind w:firstLine="420"/>
              <w:jc w:val="both"/>
            </w:pPr>
            <w:r>
              <w:rPr>
                <w:rFonts w:ascii="仿宋_GB2312" w:hAnsi="仿宋_GB2312" w:cs="仿宋_GB2312" w:eastAsia="仿宋_GB2312"/>
                <w:sz w:val="24"/>
                <w:color w:val="030303"/>
                <w:shd w:fill="FFFFFF" w:val="clear"/>
              </w:rPr>
              <w:t>1、成交供应商宣传到位，</w:t>
            </w:r>
            <w:r>
              <w:rPr>
                <w:rFonts w:ascii="仿宋_GB2312" w:hAnsi="仿宋_GB2312" w:cs="仿宋_GB2312" w:eastAsia="仿宋_GB2312"/>
                <w:sz w:val="24"/>
                <w:color w:val="030303"/>
                <w:shd w:fill="FFFFFF" w:val="clear"/>
              </w:rPr>
              <w:t>充分发挥自身优势，利用网点覆盖广泛、服务队伍专业性强等特点，采取短信提醒、制发一人一张的承保明白卡、张贴宣传单、微信公众号等方式</w:t>
            </w:r>
            <w:r>
              <w:rPr>
                <w:rFonts w:ascii="仿宋_GB2312" w:hAnsi="仿宋_GB2312" w:cs="仿宋_GB2312" w:eastAsia="仿宋_GB2312"/>
                <w:sz w:val="24"/>
                <w:color w:val="030303"/>
                <w:shd w:fill="FFFFFF" w:val="clear"/>
              </w:rPr>
              <w:t>，借助各类媒体手段和宣传平台，</w:t>
            </w:r>
            <w:r>
              <w:rPr>
                <w:rFonts w:ascii="仿宋_GB2312" w:hAnsi="仿宋_GB2312" w:cs="仿宋_GB2312" w:eastAsia="仿宋_GB2312"/>
                <w:sz w:val="24"/>
                <w:color w:val="030303"/>
                <w:shd w:fill="FFFFFF" w:val="clear"/>
              </w:rPr>
              <w:t>面向全社会开展形式多样、内容丰富的宣传活动，</w:t>
            </w:r>
            <w:r>
              <w:rPr>
                <w:rFonts w:ascii="仿宋_GB2312" w:hAnsi="仿宋_GB2312" w:cs="仿宋_GB2312" w:eastAsia="仿宋_GB2312"/>
                <w:sz w:val="24"/>
                <w:color w:val="030303"/>
                <w:shd w:fill="FFFFFF" w:val="clear"/>
              </w:rPr>
              <w:t>提高社会各界对老年人意外伤害保险的认知度和关注度。</w:t>
            </w:r>
          </w:p>
          <w:p>
            <w:pPr>
              <w:pStyle w:val="null3"/>
              <w:spacing w:before="105"/>
              <w:ind w:firstLine="420"/>
              <w:jc w:val="both"/>
            </w:pPr>
            <w:r>
              <w:rPr>
                <w:rFonts w:ascii="仿宋_GB2312" w:hAnsi="仿宋_GB2312" w:cs="仿宋_GB2312" w:eastAsia="仿宋_GB2312"/>
                <w:sz w:val="24"/>
                <w:color w:val="030303"/>
                <w:shd w:fill="FFFFFF" w:val="clear"/>
              </w:rPr>
              <w:t>2、成交供应商印制《西安市老年人意外伤害保险投保告知单</w:t>
            </w:r>
            <w:r>
              <w:rPr>
                <w:rFonts w:ascii="仿宋_GB2312" w:hAnsi="仿宋_GB2312" w:cs="仿宋_GB2312" w:eastAsia="仿宋_GB2312"/>
                <w:sz w:val="24"/>
                <w:color w:val="030303"/>
                <w:shd w:fill="FFFFFF" w:val="clear"/>
              </w:rPr>
              <w:t>(</w:t>
            </w:r>
            <w:r>
              <w:rPr>
                <w:rFonts w:ascii="仿宋_GB2312" w:hAnsi="仿宋_GB2312" w:cs="仿宋_GB2312" w:eastAsia="仿宋_GB2312"/>
                <w:sz w:val="24"/>
                <w:color w:val="030303"/>
                <w:shd w:fill="FFFFFF" w:val="clear"/>
              </w:rPr>
              <w:t>政府补贴人群</w:t>
            </w:r>
            <w:r>
              <w:rPr>
                <w:rFonts w:ascii="仿宋_GB2312" w:hAnsi="仿宋_GB2312" w:cs="仿宋_GB2312" w:eastAsia="仿宋_GB2312"/>
                <w:sz w:val="24"/>
                <w:color w:val="030303"/>
                <w:shd w:fill="FFFFFF" w:val="clear"/>
              </w:rPr>
              <w:t>)</w:t>
            </w:r>
            <w:r>
              <w:rPr>
                <w:rFonts w:ascii="仿宋_GB2312" w:hAnsi="仿宋_GB2312" w:cs="仿宋_GB2312" w:eastAsia="仿宋_GB2312"/>
                <w:sz w:val="24"/>
                <w:color w:val="030303"/>
                <w:shd w:fill="FFFFFF" w:val="clear"/>
              </w:rPr>
              <w:t>》，由采购人协调街道（镇政府）、社区（村）将投保告知单发放给每位已投保</w:t>
            </w:r>
            <w:r>
              <w:rPr>
                <w:rFonts w:ascii="仿宋_GB2312" w:hAnsi="仿宋_GB2312" w:cs="仿宋_GB2312" w:eastAsia="仿宋_GB2312"/>
                <w:sz w:val="24"/>
                <w:color w:val="030303"/>
                <w:shd w:fill="FFFFFF" w:val="clear"/>
              </w:rPr>
              <w:t>“</w:t>
            </w:r>
            <w:r>
              <w:rPr>
                <w:rFonts w:ascii="仿宋_GB2312" w:hAnsi="仿宋_GB2312" w:cs="仿宋_GB2312" w:eastAsia="仿宋_GB2312"/>
                <w:sz w:val="24"/>
                <w:color w:val="030303"/>
                <w:shd w:fill="FFFFFF" w:val="clear"/>
              </w:rPr>
              <w:t>政府补贴人群</w:t>
            </w:r>
            <w:r>
              <w:rPr>
                <w:rFonts w:ascii="仿宋_GB2312" w:hAnsi="仿宋_GB2312" w:cs="仿宋_GB2312" w:eastAsia="仿宋_GB2312"/>
                <w:sz w:val="24"/>
                <w:color w:val="030303"/>
                <w:shd w:fill="FFFFFF" w:val="clear"/>
              </w:rPr>
              <w:t>”</w:t>
            </w:r>
            <w:r>
              <w:rPr>
                <w:rFonts w:ascii="仿宋_GB2312" w:hAnsi="仿宋_GB2312" w:cs="仿宋_GB2312" w:eastAsia="仿宋_GB2312"/>
                <w:sz w:val="24"/>
                <w:color w:val="030303"/>
                <w:shd w:fill="FFFFFF" w:val="clear"/>
              </w:rPr>
              <w:t>老年人。明确告知保险名称、保险责任、理赔流程等内容，确保老年人清晰知晓自身权益。</w:t>
            </w:r>
          </w:p>
          <w:p>
            <w:pPr>
              <w:pStyle w:val="null3"/>
              <w:spacing w:before="105"/>
              <w:ind w:firstLine="420"/>
              <w:jc w:val="both"/>
            </w:pPr>
            <w:r>
              <w:rPr>
                <w:rFonts w:ascii="仿宋_GB2312" w:hAnsi="仿宋_GB2312" w:cs="仿宋_GB2312" w:eastAsia="仿宋_GB2312"/>
                <w:sz w:val="24"/>
                <w:color w:val="030303"/>
                <w:shd w:fill="FFFFFF" w:val="clear"/>
              </w:rPr>
              <w:t>3、成交供应商要为老年人提供及时、优质的保险服务。要确保老年人咨询、理赔、投诉等渠道畅通无阻，对于保险服务中存在的问题，要及时发现、及时改进并妥善解决。</w:t>
            </w:r>
          </w:p>
          <w:p>
            <w:pPr>
              <w:pStyle w:val="null3"/>
              <w:spacing w:before="105"/>
              <w:ind w:firstLine="420"/>
              <w:jc w:val="both"/>
            </w:pPr>
            <w:r>
              <w:rPr>
                <w:rFonts w:ascii="仿宋_GB2312" w:hAnsi="仿宋_GB2312" w:cs="仿宋_GB2312" w:eastAsia="仿宋_GB2312"/>
                <w:sz w:val="24"/>
                <w:color w:val="030303"/>
                <w:shd w:fill="FFFFFF" w:val="clear"/>
              </w:rPr>
              <w:t>4、成交供应商需开展承保区域内政策宣传、现场勘查、事故跟踪、资料收集、审核单证、赔付方案、赔付资金兑现等工作。</w:t>
            </w:r>
          </w:p>
          <w:p>
            <w:pPr>
              <w:pStyle w:val="null3"/>
              <w:spacing w:before="105"/>
              <w:jc w:val="both"/>
            </w:pPr>
            <w:r>
              <w:rPr>
                <w:rFonts w:ascii="仿宋_GB2312" w:hAnsi="仿宋_GB2312" w:cs="仿宋_GB2312" w:eastAsia="仿宋_GB2312"/>
                <w:sz w:val="24"/>
                <w:b/>
                <w:color w:val="030303"/>
                <w:shd w:fill="FFFFFF" w:val="clear"/>
              </w:rPr>
              <w:t>七、理赔流程</w:t>
            </w:r>
          </w:p>
          <w:p>
            <w:pPr>
              <w:pStyle w:val="null3"/>
              <w:spacing w:before="105"/>
              <w:ind w:firstLine="420"/>
              <w:jc w:val="both"/>
            </w:pPr>
            <w:r>
              <w:rPr>
                <w:rFonts w:ascii="仿宋_GB2312" w:hAnsi="仿宋_GB2312" w:cs="仿宋_GB2312" w:eastAsia="仿宋_GB2312"/>
                <w:sz w:val="24"/>
                <w:color w:val="030303"/>
                <w:shd w:fill="FFFFFF" w:val="clear"/>
              </w:rPr>
              <w:t>老年人发生意外事故后，通过保险公司客服热线，通知成交供应商，成交供应商接到通知后开展现场查勘和资料收集，完成理赔作业处理，并将赔款支付给受益人。</w:t>
            </w:r>
          </w:p>
          <w:p>
            <w:pPr>
              <w:pStyle w:val="null3"/>
              <w:spacing w:before="105"/>
              <w:jc w:val="both"/>
            </w:pPr>
            <w:r>
              <w:rPr>
                <w:rFonts w:ascii="仿宋_GB2312" w:hAnsi="仿宋_GB2312" w:cs="仿宋_GB2312" w:eastAsia="仿宋_GB2312"/>
                <w:sz w:val="24"/>
                <w:b/>
                <w:color w:val="030303"/>
                <w:shd w:fill="FFFFFF" w:val="clear"/>
              </w:rPr>
              <w:t>八、理赔规则</w:t>
            </w:r>
          </w:p>
          <w:p>
            <w:pPr>
              <w:pStyle w:val="null3"/>
              <w:spacing w:before="105"/>
              <w:ind w:firstLine="420"/>
              <w:jc w:val="both"/>
            </w:pPr>
            <w:r>
              <w:rPr>
                <w:rFonts w:ascii="仿宋_GB2312" w:hAnsi="仿宋_GB2312" w:cs="仿宋_GB2312" w:eastAsia="仿宋_GB2312"/>
                <w:sz w:val="24"/>
                <w:color w:val="030303"/>
                <w:shd w:fill="FFFFFF" w:val="clear"/>
              </w:rPr>
              <w:t>1.</w:t>
            </w:r>
            <w:r>
              <w:rPr>
                <w:rFonts w:ascii="仿宋_GB2312" w:hAnsi="仿宋_GB2312" w:cs="仿宋_GB2312" w:eastAsia="仿宋_GB2312"/>
                <w:sz w:val="24"/>
                <w:color w:val="030303"/>
                <w:shd w:fill="FFFFFF" w:val="clear"/>
              </w:rPr>
              <w:t>老年人发生意外伤害事件所产生的医疗费用，先由基本医疗保险按规定报销后，剩余部分由老年人意外伤害保险按保险责任约定比例理赔；</w:t>
            </w:r>
          </w:p>
          <w:p>
            <w:pPr>
              <w:pStyle w:val="null3"/>
              <w:spacing w:before="105"/>
              <w:ind w:firstLine="420"/>
              <w:jc w:val="both"/>
            </w:pPr>
            <w:r>
              <w:rPr>
                <w:rFonts w:ascii="仿宋_GB2312" w:hAnsi="仿宋_GB2312" w:cs="仿宋_GB2312" w:eastAsia="仿宋_GB2312"/>
                <w:sz w:val="24"/>
                <w:color w:val="030303"/>
                <w:shd w:fill="FFFFFF" w:val="clear"/>
              </w:rPr>
              <w:t>2.</w:t>
            </w:r>
            <w:r>
              <w:rPr>
                <w:rFonts w:ascii="仿宋_GB2312" w:hAnsi="仿宋_GB2312" w:cs="仿宋_GB2312" w:eastAsia="仿宋_GB2312"/>
                <w:sz w:val="24"/>
                <w:color w:val="030303"/>
                <w:shd w:fill="FFFFFF" w:val="clear"/>
              </w:rPr>
              <w:t>入住养老机构老年人发生意外伤害所产生的医疗费用理赔顺序为：基本医疗保险</w:t>
            </w:r>
            <w:r>
              <w:rPr>
                <w:rFonts w:ascii="仿宋_GB2312" w:hAnsi="仿宋_GB2312" w:cs="仿宋_GB2312" w:eastAsia="仿宋_GB2312"/>
                <w:sz w:val="24"/>
                <w:color w:val="030303"/>
                <w:shd w:fill="FFFFFF" w:val="clear"/>
              </w:rPr>
              <w:t>→</w:t>
            </w:r>
            <w:r>
              <w:rPr>
                <w:rFonts w:ascii="仿宋_GB2312" w:hAnsi="仿宋_GB2312" w:cs="仿宋_GB2312" w:eastAsia="仿宋_GB2312"/>
                <w:sz w:val="24"/>
                <w:color w:val="030303"/>
                <w:shd w:fill="FFFFFF" w:val="clear"/>
              </w:rPr>
              <w:t>养老机构综合责任保险</w:t>
            </w:r>
            <w:r>
              <w:rPr>
                <w:rFonts w:ascii="仿宋_GB2312" w:hAnsi="仿宋_GB2312" w:cs="仿宋_GB2312" w:eastAsia="仿宋_GB2312"/>
                <w:sz w:val="24"/>
                <w:color w:val="030303"/>
                <w:shd w:fill="FFFFFF" w:val="clear"/>
              </w:rPr>
              <w:t>→</w:t>
            </w:r>
            <w:r>
              <w:rPr>
                <w:rFonts w:ascii="仿宋_GB2312" w:hAnsi="仿宋_GB2312" w:cs="仿宋_GB2312" w:eastAsia="仿宋_GB2312"/>
                <w:sz w:val="24"/>
                <w:color w:val="030303"/>
                <w:shd w:fill="FFFFFF" w:val="clear"/>
              </w:rPr>
              <w:t>老年人意外伤害保险。</w:t>
            </w:r>
          </w:p>
          <w:p>
            <w:pPr>
              <w:pStyle w:val="null3"/>
              <w:spacing w:before="105"/>
              <w:jc w:val="both"/>
            </w:pPr>
            <w:r>
              <w:rPr>
                <w:rFonts w:ascii="仿宋_GB2312" w:hAnsi="仿宋_GB2312" w:cs="仿宋_GB2312" w:eastAsia="仿宋_GB2312"/>
                <w:sz w:val="24"/>
                <w:b/>
                <w:color w:val="030303"/>
                <w:shd w:fill="FFFFFF" w:val="clear"/>
              </w:rPr>
              <w:t>九、其它</w:t>
            </w:r>
          </w:p>
          <w:p>
            <w:pPr>
              <w:pStyle w:val="null3"/>
              <w:spacing w:before="105"/>
              <w:ind w:firstLine="420"/>
              <w:jc w:val="both"/>
            </w:pPr>
            <w:r>
              <w:rPr>
                <w:rFonts w:ascii="仿宋_GB2312" w:hAnsi="仿宋_GB2312" w:cs="仿宋_GB2312" w:eastAsia="仿宋_GB2312"/>
                <w:sz w:val="24"/>
                <w:color w:val="030303"/>
                <w:shd w:fill="FFFFFF" w:val="clear"/>
              </w:rPr>
              <w:t>“政府补贴人群”人员名单，由区民政部门牵头确定， 向承保本区域“政府补贴人群”的保险公司提供；承保保险公司以区为单位出具老年人团体意外伤害保险单。西安市老年人团体意外伤害保险承保协议一年一签。</w:t>
            </w:r>
          </w:p>
          <w:p>
            <w:pPr>
              <w:pStyle w:val="null3"/>
              <w:jc w:val="both"/>
            </w:pPr>
            <w:r>
              <w:rPr>
                <w:rFonts w:ascii="仿宋_GB2312" w:hAnsi="仿宋_GB2312" w:cs="仿宋_GB2312" w:eastAsia="仿宋_GB2312"/>
                <w:sz w:val="24"/>
                <w:color w:val="030303"/>
                <w:shd w:fill="FFFFFF" w:val="clear"/>
              </w:rPr>
              <w:t xml:space="preserve">    在西安市居住的非</w:t>
            </w:r>
            <w:r>
              <w:rPr>
                <w:rFonts w:ascii="仿宋_GB2312" w:hAnsi="仿宋_GB2312" w:cs="仿宋_GB2312" w:eastAsia="仿宋_GB2312"/>
                <w:sz w:val="24"/>
                <w:color w:val="030303"/>
                <w:shd w:fill="FFFFFF" w:val="clear"/>
              </w:rPr>
              <w:t>“政府补贴人群”的人员承保，采取自愿原则，由承保保险公司负责收集资料并出具保单，享受同等的价格及理赔服务，保费自理。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供应商根据单位自身情况及项目实际情况自主配置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供应商根据单位自身情况及项目实际情况自主配置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自合同签订之日起3年（本项目预算为一年预算；若供应商所提供的服务质量经采购人绩效考评及综合评分满意后，双方可续签下一年度合同；若考核不合格，则不再进行续签。）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在签订合同后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当年理赔金额占保险费总额比例≥80%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 采购结果公告发布后5日内，成交供应商须向代理机构提供纸质版响应文件3份（文件必须与电子化交易平台上传的文件一致），纸质响应文件须胶装并在文件首页盖鲜章。递交地址：陕西省西安市经济技术开发区凤城八路风景御园20号楼4层403室，联系人及电话见文件。 3.4.2 根据《陕西省财政厅关于在全省开展电子化投诉工作有关事项的通知》(陕财办采函(2022)15号)，政府采购供应商可登录"陕西省政府采购综合管理平台"系统进行线上投诉。 3.4.3 由于系统原因，本项目3.3.5支付约定以“第八章拟签订采购合同文本”中约定的结算方式为准。 3.4.4 分支机构负责人签字与法定代表人签字，具有同等法律效力。</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供应商需在项目电子化交易系统中按要求填写《基本资格条件承诺函》完成承诺并进行电子签章。（格式详见附件）。 未提供《基本资格条件承诺函》的供应商需提交如下资格证明文件： ①提供合格有效的法人或者其他组织的营业执照等证明文件，自然人的身份证明；供应商是法人或其他组织的应提供营业执照等证明文件，供应商是自然人的应提供有效的自然人身份证明。 ②财务状况报告：提供具有审计资质单位出具并赋码的2024年度或2025年度财务报告（包括“ 四表一注” 即《资产负债表》《利润表》《现金流量表》《所有者权益变动表》及其附注），成立时间至提交磋商响应文件截止时间不足一年的可提供成立后任意时段的资产负债表；或提交磋商响应文件截止时间前三个月内其基本存款账户开户银行出具的资信证明及基本存款账户信息。（以上两种形式的资料提供任何一种即可）； ③提供具有履行合同所必需的设备和专业技术能力的承诺； ④提供开标时间前6个月内任意时段的纳税证明或完税证明（除印花税外任意税种），纳税证明或完税证明上应有代收机构或税务机关的公章或业务专用章。依法免税的供应商应提供相关文件证明； ⑤提供开标时间前6个月内任意时段的社会保障资金缴存单据或社保机构开具的社会保险参保缴费情况证明，依法不需要缴纳社会保障资金的单位应提供相关证明材料； ⑥参加政府采购活动前3年内，在经营活动中没有重大违法记录的书面声明。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供应商需在项目电子化交易系统中按要求填写《基本资格条件承诺函》完成承诺并进行电子签章。（格式详见附件）。 未提供《基本资格条件承诺函》的供应商需提交如下资格证明文件： 财务状况报告：提供具有审计资质单位出具并赋码的2024年度或2025年度财务报告（包括“ 四表一注” 即《资产负债表》《利润表》《现金流量表》《所有者权益变动表》及其附注），成立时间至提交磋商响应文件截止时间不足一年的可提供成立后任意时段的资产负债表；或提交磋商响应文件截止时间前三个月内其基本存款账户开户银行出具的资信证明及基本存款账户信息。（以上两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1、单位负责人为同一人或者存在直接控股、管理关系的供应商，不得参加同一合同下的政府采购活动； 2、为本项目提供过整体设计、规范编制或者项目管理、监理、检测等服务的供应商，不得再参加本项目采购活动。</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及其身份证扫描件。法定代表人授权他人参加磋商的，须出具法定代表人授权书（附法定代表人、被授权人身份证扫描件；其中被授权人需提供在本单位近6个月内任意一个月的社保缴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保险资质</w:t>
            </w:r>
          </w:p>
        </w:tc>
        <w:tc>
          <w:tcPr>
            <w:tcW w:type="dxa" w:w="3322"/>
          </w:tcPr>
          <w:p>
            <w:pPr>
              <w:pStyle w:val="null3"/>
            </w:pPr>
            <w:r>
              <w:rPr>
                <w:rFonts w:ascii="仿宋_GB2312" w:hAnsi="仿宋_GB2312" w:cs="仿宋_GB2312" w:eastAsia="仿宋_GB2312"/>
              </w:rPr>
              <w:t>供应商须具有中国银行保险监督管理委员会颁发的经营保险业务许可证（同一保险机构只允许其总公司或一家分支机构参与磋商）；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供应商未被“信用中国”网站（www.creditchina.gov.cn）列入失信被执行人和重大税收违法失信主体，未被中国政府采购网（www.ccgp.gov.cn）列入政府采购严重违法失信行为记录名单；（以现场信用记录查询结果为准）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3.关于政府采购异常低价处理按照财库【2026】2号文规定执行。</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磋商方案说明书.docx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 报价一览表.docx 中小企业声明函 残疾人福利性单位声明函 标的清单 其他资料.docx 报价表 磋商方案说明书.docx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报价一览表.docx 标的清单 磋商方案说明书.docx 报价表 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报价一览表.docx 标的清单 磋商方案说明书.docx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磋商方案说明书.docx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报价一览表.docx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报价一览表.docx 标的清单 磋商方案说明书.docx 报价表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响应文件封面 报价一览表.docx 其他资料.docx 标的清单 磋商方案说明书.docx 报价表 响应函 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保险服务方案</w:t>
            </w:r>
          </w:p>
        </w:tc>
        <w:tc>
          <w:tcPr>
            <w:tcW w:type="dxa" w:w="2492"/>
          </w:tcPr>
          <w:p>
            <w:pPr>
              <w:pStyle w:val="null3"/>
            </w:pPr>
            <w:r>
              <w:rPr>
                <w:rFonts w:ascii="仿宋_GB2312" w:hAnsi="仿宋_GB2312" w:cs="仿宋_GB2312" w:eastAsia="仿宋_GB2312"/>
              </w:rPr>
              <w:t>评审内容： 包含但不限于①保险责任②保障额度③赔付标准④责任免除 评审标准： 1.完整性：针对本项目的保险服务方案内容完整、要素齐全； 2.可实施性：结合本项目实际情况，措施清晰、合理可行； 3.针对性：方案紧扣项目实际，科学合理。 评分细则： （1）评审内容全面详细、阐述条理清晰详尽、符合本项目采购需求得12分； （2）评审内容每缺少一项内容扣3分； （3）评审内容完全缺失则不得分，每有一处内容存在缺陷或不足的根据实际情况扣1-2分；扣完为止。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理赔服务方案</w:t>
            </w:r>
          </w:p>
        </w:tc>
        <w:tc>
          <w:tcPr>
            <w:tcW w:type="dxa" w:w="2492"/>
          </w:tcPr>
          <w:p>
            <w:pPr>
              <w:pStyle w:val="null3"/>
            </w:pPr>
            <w:r>
              <w:rPr>
                <w:rFonts w:ascii="仿宋_GB2312" w:hAnsi="仿宋_GB2312" w:cs="仿宋_GB2312" w:eastAsia="仿宋_GB2312"/>
              </w:rPr>
              <w:t>评审内容：包含但不限于①理赔流程②理赔时效③材料清单④上门服务 评审标准： 1、完整性：理赔服务方案内容完整； 2、可实施性：流程清晰、操作简便、适合老年群体； 3、针对性：贴合本项目实际需求。 评分细则： （1）评审内容全面详细、阐述条理清晰详尽、符合本项目采购需求得12分； （2）评审内容每缺少一项内容扣3分； （3）评审内容完全缺失则不得分，每有一处内容存在缺陷或不足的根据实际情况扣1-2分；扣完为止。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宣传方案</w:t>
            </w:r>
          </w:p>
        </w:tc>
        <w:tc>
          <w:tcPr>
            <w:tcW w:type="dxa" w:w="2492"/>
          </w:tcPr>
          <w:p>
            <w:pPr>
              <w:pStyle w:val="null3"/>
            </w:pPr>
            <w:r>
              <w:rPr>
                <w:rFonts w:ascii="仿宋_GB2312" w:hAnsi="仿宋_GB2312" w:cs="仿宋_GB2312" w:eastAsia="仿宋_GB2312"/>
              </w:rPr>
              <w:t>评审内容：包含但不限于①政策宣传方式、②参保告知服务、③宣传材料制作、④群众解释说明服务 评审标准： 1.完整性：针对本项目的宣传服务内容完整、要素齐全； 2.可实施性：结合本项目实际情况，提出步骤清晰、合理的措施； 3.针对性：方案能够紧扣项目实际情况，内容科学合理。 评分细则： （1）评审内容全面详细、阐述条理清晰详尽、符合本项目采购需求得8分； （2）评审内容每缺少一项内容扣2分； （3）评审内容完全缺失则不得分，每有一处内容存在缺陷或不足的根据实际情况扣0.5-1分；扣完为止。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评审内容：包含但不限于①项目负责人 ②项目团队组成③人员职责分工 评审标准： 1、完整性：项目人员配置齐全、岗位职责清晰； 2、合理性：人员配置能够满足项目服务需求； 3、针对性：人员安排符合本项目服务特点。 评分细则： （1）评审内容全面详细、阐述条理清晰详尽、符合本项目采购需求得9分； （2）评审内容每缺少一项内容扣3分； （3）评审内容完全缺失则不得分，每有一处内容存在缺陷或不足根据实际情况扣0.5-1.5分，该项分值扣完为止。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评审内容：包含但不限于①应急预案②安全保障措施。 评审标准：1、完整性：针对本项目的应急预案、安全保障措施，有详细描述； 2、可实施性：结合本项目实际情况，提出步骤清晰、合理的措施。 3、针对性：方案能够紧扣项目实际情况，内容科学合理； 评分细则：（1）评审内容全面详细、阐述条理清晰详尽、符合本项目采购需求得4分；(2)评审内容每缺少一项内容扣2分； (3)评审内容完全缺失则不得分，每有一处内容存在缺陷或不足的根据实际情况扣0.5-1分，该项分值扣完为止。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投诉处理</w:t>
            </w:r>
          </w:p>
        </w:tc>
        <w:tc>
          <w:tcPr>
            <w:tcW w:type="dxa" w:w="2492"/>
          </w:tcPr>
          <w:p>
            <w:pPr>
              <w:pStyle w:val="null3"/>
            </w:pPr>
            <w:r>
              <w:rPr>
                <w:rFonts w:ascii="仿宋_GB2312" w:hAnsi="仿宋_GB2312" w:cs="仿宋_GB2312" w:eastAsia="仿宋_GB2312"/>
              </w:rPr>
              <w:t>评审内容：包含但不限于①投诉受理渠道 ②投诉响应时限 ③投诉处理流程 评审标准： 1、完整性：针对本项目的投诉处理内容完整、要素齐全； 2、可实施性：结合本项目实际情况，提出步骤清晰、合理的措施； 3、针对性：方案能够紧扣项目实际情况，内容科学合理。 评分细则： （1）评审内容全面详细、阐述条理清晰详尽、符合本项目采购需求得9分； （2）评审内容每缺少一项内容扣3分； （3）评审内容完全缺失则不得分，每有一处内容存在缺陷或不足的根据实际情况扣0.5-1.5分，该项分值扣完为止。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评审内容：包含但不限于①服务响应时效、②日常咨询服务、③便民服务措施、④履约保障措施 评审标准： 1.完整性：针对本项目的服务承诺内容完整、要素齐全； 2.可实施性：结合本项目实际情况，提出步骤清晰、合理的措施； 3.针对性：方案能够紧扣项目实际情况，内容科学合理。 评分细则： （1）评审内容全面详细、阐述条理清晰详尽、符合本项目采购需求得6分； （2）评审内容每缺少一项内容扣1.5分； （3）评审内容完全缺失则不得分，每有一处内容存在缺陷或不足的根据实际情况扣0.5-1分，该项分值扣完为止。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供应商需提供近年来（2023年1月1日起至今）类似业绩证明材料。业绩证明材料以合同为准，每提供一项有效合同，赋2分，最高10分。备注：响应文件中提供合同复印件加盖公章。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价格分采用低价优先法计算，即满足磋商文件要求且磋商价格最低的磋商报价为评审基准价，其价格分为满分。其他供应商的价格分统一按照下列公式计算： 磋商报价得分=（评标基准价/磋商评审价）×价格分（非专门面向中小企业采购的项目或采购包，如供应商为小微企业按照10%价格扣除）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