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8F269">
      <w:pPr>
        <w:pStyle w:val="8"/>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rPr>
      </w:pPr>
      <w:r>
        <w:rPr>
          <w:rFonts w:hint="eastAsia" w:ascii="仿宋" w:hAnsi="仿宋" w:eastAsia="仿宋" w:cs="仿宋"/>
          <w:b/>
          <w:sz w:val="36"/>
        </w:rPr>
        <w:t>第八章 拟签订采购合同文本</w:t>
      </w:r>
    </w:p>
    <w:p w14:paraId="7C643A8B">
      <w:pPr>
        <w:pStyle w:val="2"/>
        <w:jc w:val="center"/>
        <w:rPr>
          <w:rFonts w:hint="eastAsia" w:ascii="仿宋" w:hAnsi="仿宋" w:eastAsia="仿宋" w:cs="仿宋"/>
          <w:sz w:val="72"/>
          <w:szCs w:val="72"/>
        </w:rPr>
      </w:pPr>
      <w:r>
        <w:rPr>
          <w:rFonts w:hint="eastAsia" w:ascii="仿宋" w:hAnsi="仿宋" w:eastAsia="仿宋" w:cs="仿宋"/>
        </w:rPr>
        <w:t xml:space="preserve"> </w:t>
      </w:r>
      <w:r>
        <w:rPr>
          <w:rFonts w:hint="eastAsia" w:ascii="仿宋" w:hAnsi="仿宋" w:eastAsia="仿宋" w:cs="仿宋"/>
        </w:rPr>
        <w:br w:type="textWrapping"/>
      </w:r>
      <w:bookmarkStart w:id="0" w:name="_Toc423973074"/>
      <w:bookmarkStart w:id="1" w:name="_Toc403077645"/>
      <w:bookmarkStart w:id="2" w:name="_Toc48651751"/>
      <w:bookmarkStart w:id="3" w:name="_Toc9896"/>
      <w:bookmarkStart w:id="4" w:name="_Toc25783"/>
      <w:r>
        <w:rPr>
          <w:rFonts w:hint="eastAsia"/>
        </w:rPr>
        <w:t>合同主要条款及格式</w:t>
      </w:r>
      <w:bookmarkEnd w:id="0"/>
      <w:bookmarkEnd w:id="1"/>
      <w:bookmarkEnd w:id="2"/>
      <w:bookmarkEnd w:id="3"/>
      <w:bookmarkEnd w:id="4"/>
    </w:p>
    <w:p w14:paraId="597C6E88">
      <w:pPr>
        <w:pStyle w:val="4"/>
        <w:shd w:val="clear" w:color="auto" w:fill="FFFFFF"/>
        <w:spacing w:line="360" w:lineRule="auto"/>
        <w:ind w:firstLine="480" w:firstLineChars="200"/>
        <w:rPr>
          <w:rFonts w:ascii="仿宋" w:hAnsi="仿宋" w:eastAsia="仿宋" w:cs="仿宋"/>
          <w:sz w:val="24"/>
          <w:szCs w:val="24"/>
        </w:rPr>
      </w:pPr>
      <w:r>
        <w:rPr>
          <w:rFonts w:ascii="仿宋" w:hAnsi="仿宋" w:eastAsia="仿宋" w:cs="仿宋"/>
          <w:sz w:val="24"/>
          <w:szCs w:val="24"/>
        </w:rPr>
        <w:t>甲方（采购人）：</w:t>
      </w:r>
    </w:p>
    <w:p w14:paraId="1F9D81A9">
      <w:pPr>
        <w:pStyle w:val="4"/>
        <w:shd w:val="clear" w:color="auto" w:fill="FFFFFF"/>
        <w:spacing w:line="360" w:lineRule="auto"/>
        <w:ind w:firstLine="480" w:firstLineChars="200"/>
        <w:rPr>
          <w:rFonts w:ascii="仿宋" w:hAnsi="仿宋" w:eastAsia="仿宋" w:cs="仿宋"/>
          <w:sz w:val="24"/>
          <w:szCs w:val="24"/>
        </w:rPr>
      </w:pPr>
      <w:r>
        <w:rPr>
          <w:rFonts w:ascii="仿宋" w:hAnsi="仿宋" w:eastAsia="仿宋" w:cs="仿宋"/>
          <w:sz w:val="24"/>
          <w:szCs w:val="24"/>
        </w:rPr>
        <w:t>乙方（成交供应商）：</w:t>
      </w:r>
    </w:p>
    <w:p w14:paraId="15B9D827">
      <w:pPr>
        <w:pStyle w:val="9"/>
        <w:spacing w:line="500" w:lineRule="exact"/>
        <w:ind w:firstLine="480" w:firstLineChars="0"/>
        <w:jc w:val="left"/>
        <w:rPr>
          <w:rFonts w:hint="eastAsia" w:ascii="仿宋" w:hAnsi="仿宋" w:eastAsia="仿宋" w:cs="宋体"/>
          <w:sz w:val="24"/>
          <w:szCs w:val="32"/>
        </w:rPr>
      </w:pPr>
      <w:r>
        <w:rPr>
          <w:rFonts w:hint="eastAsia" w:ascii="仿宋" w:hAnsi="仿宋" w:eastAsia="仿宋" w:cs="宋体"/>
          <w:sz w:val="24"/>
          <w:szCs w:val="32"/>
        </w:rPr>
        <w:t>2026年度老年人意外伤害险</w:t>
      </w:r>
      <w:r>
        <w:rPr>
          <w:rFonts w:hint="eastAsia" w:ascii="仿宋" w:hAnsi="仿宋" w:eastAsia="仿宋" w:cs="宋体"/>
          <w:sz w:val="24"/>
          <w:szCs w:val="32"/>
          <w:lang w:eastAsia="zh-CN"/>
        </w:rPr>
        <w:t>（</w:t>
      </w:r>
      <w:r>
        <w:rPr>
          <w:rFonts w:hint="eastAsia" w:ascii="仿宋" w:hAnsi="仿宋" w:eastAsia="仿宋" w:cs="宋体"/>
          <w:sz w:val="24"/>
          <w:szCs w:val="32"/>
          <w:lang w:val="en-US" w:eastAsia="zh-CN"/>
        </w:rPr>
        <w:t>三次）</w:t>
      </w:r>
      <w:r>
        <w:rPr>
          <w:rFonts w:hint="eastAsia" w:ascii="仿宋" w:hAnsi="仿宋" w:eastAsia="仿宋" w:cs="宋体"/>
          <w:sz w:val="24"/>
          <w:szCs w:val="32"/>
        </w:rPr>
        <w:t xml:space="preserve"> (采购项目编号：ZZX2026-CS-ZC002)，在西安市</w:t>
      </w:r>
      <w:r>
        <w:rPr>
          <w:rFonts w:hint="eastAsia" w:ascii="仿宋" w:hAnsi="仿宋" w:eastAsia="仿宋" w:cs="宋体"/>
          <w:sz w:val="24"/>
          <w:szCs w:val="32"/>
          <w:lang w:val="en-US" w:eastAsia="zh-CN"/>
        </w:rPr>
        <w:t>未央区</w:t>
      </w:r>
      <w:r>
        <w:rPr>
          <w:rFonts w:hint="eastAsia" w:ascii="仿宋" w:hAnsi="仿宋" w:eastAsia="仿宋" w:cs="宋体"/>
          <w:sz w:val="24"/>
          <w:szCs w:val="32"/>
        </w:rPr>
        <w:t>财政局政府采购管理</w:t>
      </w:r>
      <w:r>
        <w:rPr>
          <w:rFonts w:hint="eastAsia" w:ascii="仿宋" w:hAnsi="仿宋" w:eastAsia="仿宋" w:cs="宋体"/>
          <w:sz w:val="24"/>
          <w:szCs w:val="32"/>
          <w:lang w:val="en-US" w:eastAsia="zh-CN"/>
        </w:rPr>
        <w:t>科</w:t>
      </w:r>
      <w:r>
        <w:rPr>
          <w:rFonts w:hint="eastAsia" w:ascii="仿宋" w:hAnsi="仿宋" w:eastAsia="仿宋" w:cs="宋体"/>
          <w:sz w:val="24"/>
          <w:szCs w:val="32"/>
        </w:rPr>
        <w:t xml:space="preserve">的监督管理下，由正泽兴（陕西）项目管理有限公司组织竞争性磋商，西安市未央区老龄工作发展服务中心以下简称 “ 甲方 ”)确定 </w:t>
      </w:r>
      <w:r>
        <w:rPr>
          <w:rFonts w:hint="eastAsia" w:ascii="仿宋" w:hAnsi="仿宋" w:eastAsia="仿宋" w:cs="宋体"/>
          <w:sz w:val="24"/>
          <w:szCs w:val="32"/>
          <w:u w:val="single"/>
        </w:rPr>
        <w:t xml:space="preserve">        </w:t>
      </w:r>
      <w:r>
        <w:rPr>
          <w:rFonts w:hint="eastAsia" w:ascii="仿宋" w:hAnsi="仿宋" w:eastAsia="仿宋" w:cs="宋体"/>
          <w:sz w:val="24"/>
          <w:szCs w:val="32"/>
        </w:rPr>
        <w:t>（以下简称“ 乙方 ”）为该项目成交供应商，接受乙方在</w:t>
      </w:r>
      <w:r>
        <w:rPr>
          <w:rFonts w:hint="eastAsia" w:ascii="仿宋" w:hAnsi="仿宋" w:eastAsia="仿宋" w:cs="宋体"/>
          <w:sz w:val="24"/>
          <w:szCs w:val="32"/>
          <w:lang w:eastAsia="zh-CN"/>
        </w:rPr>
        <w:t>202</w:t>
      </w:r>
      <w:r>
        <w:rPr>
          <w:rFonts w:hint="eastAsia" w:ascii="仿宋" w:hAnsi="仿宋" w:eastAsia="仿宋" w:cs="宋体"/>
          <w:sz w:val="24"/>
          <w:szCs w:val="32"/>
          <w:lang w:val="en-US" w:eastAsia="zh-CN"/>
        </w:rPr>
        <w:t>6</w:t>
      </w:r>
      <w:r>
        <w:rPr>
          <w:rFonts w:hint="eastAsia" w:ascii="仿宋" w:hAnsi="仿宋" w:eastAsia="仿宋" w:cs="宋体"/>
          <w:sz w:val="24"/>
          <w:szCs w:val="32"/>
          <w:lang w:eastAsia="zh-CN"/>
        </w:rPr>
        <w:t>年度老年人意外伤害险（</w:t>
      </w:r>
      <w:r>
        <w:rPr>
          <w:rFonts w:hint="eastAsia" w:ascii="仿宋" w:hAnsi="仿宋" w:eastAsia="仿宋" w:cs="宋体"/>
          <w:sz w:val="24"/>
          <w:szCs w:val="32"/>
          <w:lang w:val="en-US" w:eastAsia="zh-CN"/>
        </w:rPr>
        <w:t>三次）</w:t>
      </w:r>
      <w:r>
        <w:rPr>
          <w:rFonts w:hint="eastAsia" w:ascii="仿宋" w:hAnsi="仿宋" w:eastAsia="仿宋" w:cs="宋体"/>
          <w:sz w:val="24"/>
          <w:szCs w:val="32"/>
          <w:lang w:eastAsia="zh-CN"/>
        </w:rPr>
        <w:t>项目</w:t>
      </w:r>
      <w:r>
        <w:rPr>
          <w:rFonts w:hint="eastAsia" w:ascii="仿宋" w:hAnsi="仿宋" w:eastAsia="仿宋" w:cs="宋体"/>
          <w:sz w:val="24"/>
          <w:szCs w:val="32"/>
        </w:rPr>
        <w:t>中提供的产品及服务。</w:t>
      </w:r>
    </w:p>
    <w:p w14:paraId="734DFABA">
      <w:pPr>
        <w:pStyle w:val="9"/>
        <w:spacing w:line="500" w:lineRule="exact"/>
        <w:ind w:firstLine="480" w:firstLineChars="0"/>
        <w:jc w:val="left"/>
        <w:rPr>
          <w:rFonts w:hint="eastAsia" w:ascii="仿宋" w:hAnsi="仿宋" w:eastAsia="仿宋" w:cs="宋体"/>
          <w:sz w:val="24"/>
          <w:szCs w:val="32"/>
        </w:rPr>
      </w:pPr>
      <w:r>
        <w:rPr>
          <w:rFonts w:hint="eastAsia" w:ascii="仿宋" w:hAnsi="仿宋" w:eastAsia="仿宋" w:cs="宋体"/>
          <w:sz w:val="24"/>
          <w:szCs w:val="32"/>
        </w:rPr>
        <w:t>依据《中华人民共和国民法典》和《中华人民共和国政府采购法》，经双方协商按下述条款和条件签署本合同。</w:t>
      </w:r>
    </w:p>
    <w:p w14:paraId="3E322E5E">
      <w:pPr>
        <w:spacing w:line="360" w:lineRule="auto"/>
        <w:rPr>
          <w:rFonts w:hint="eastAsia" w:ascii="仿宋" w:hAnsi="仿宋" w:eastAsia="仿宋" w:cs="仿宋"/>
          <w:b/>
          <w:color w:val="auto"/>
          <w:sz w:val="24"/>
          <w:szCs w:val="24"/>
          <w:highlight w:val="none"/>
        </w:rPr>
      </w:pPr>
      <w:bookmarkStart w:id="5" w:name="_Toc9604"/>
      <w:r>
        <w:rPr>
          <w:rFonts w:hint="eastAsia" w:ascii="仿宋" w:hAnsi="仿宋" w:eastAsia="仿宋" w:cs="仿宋"/>
          <w:b/>
          <w:color w:val="auto"/>
          <w:sz w:val="24"/>
          <w:szCs w:val="24"/>
          <w:highlight w:val="none"/>
        </w:rPr>
        <w:t>一、项目概况</w:t>
      </w:r>
      <w:bookmarkEnd w:id="5"/>
    </w:p>
    <w:p w14:paraId="4E8CB4D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项目名称：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8F4C0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项目地点：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B7E9A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项目内容：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6CD4106">
      <w:pPr>
        <w:spacing w:line="360" w:lineRule="auto"/>
        <w:rPr>
          <w:rFonts w:hint="eastAsia" w:ascii="仿宋" w:hAnsi="仿宋" w:eastAsia="仿宋" w:cs="仿宋"/>
          <w:b/>
          <w:color w:val="auto"/>
          <w:sz w:val="24"/>
          <w:szCs w:val="24"/>
          <w:highlight w:val="none"/>
        </w:rPr>
      </w:pPr>
      <w:bookmarkStart w:id="6" w:name="_Toc12772"/>
      <w:r>
        <w:rPr>
          <w:rFonts w:hint="eastAsia" w:ascii="仿宋" w:hAnsi="仿宋" w:eastAsia="仿宋" w:cs="仿宋"/>
          <w:b/>
          <w:color w:val="auto"/>
          <w:sz w:val="24"/>
          <w:szCs w:val="24"/>
          <w:highlight w:val="none"/>
        </w:rPr>
        <w:t>二、组成本合同的文件</w:t>
      </w:r>
      <w:bookmarkEnd w:id="6"/>
    </w:p>
    <w:p w14:paraId="014CD82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协议书；</w:t>
      </w:r>
    </w:p>
    <w:p w14:paraId="65D890A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 </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通知书、</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、澄清、投标补充文件；</w:t>
      </w:r>
    </w:p>
    <w:p w14:paraId="23A3C8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相关服务建议书；</w:t>
      </w:r>
    </w:p>
    <w:p w14:paraId="2A98CC7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附录，即：附表内相关服务的范围和内容；</w:t>
      </w:r>
    </w:p>
    <w:p w14:paraId="64A1CF0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本合同签订后，双方依法签订的补充协议也是本合同文件的组成部分。</w:t>
      </w:r>
    </w:p>
    <w:p w14:paraId="06E3AD3F">
      <w:pPr>
        <w:pStyle w:val="3"/>
        <w:spacing w:before="179" w:line="222" w:lineRule="auto"/>
        <w:rPr>
          <w:rFonts w:hint="eastAsia" w:ascii="仿宋" w:hAnsi="仿宋" w:eastAsia="仿宋" w:cs="宋体"/>
          <w:b/>
          <w:bCs/>
          <w:kern w:val="0"/>
          <w:sz w:val="24"/>
          <w:szCs w:val="24"/>
        </w:rPr>
      </w:pPr>
      <w:r>
        <w:rPr>
          <w:rFonts w:hint="eastAsia" w:ascii="仿宋" w:hAnsi="仿宋" w:eastAsia="仿宋" w:cs="宋体"/>
          <w:b/>
          <w:bCs/>
          <w:kern w:val="0"/>
          <w:sz w:val="24"/>
          <w:szCs w:val="24"/>
          <w:lang w:val="en-US" w:eastAsia="zh-CN"/>
        </w:rPr>
        <w:t>三</w:t>
      </w:r>
      <w:r>
        <w:rPr>
          <w:rFonts w:hint="eastAsia" w:ascii="仿宋" w:hAnsi="仿宋" w:eastAsia="仿宋" w:cs="宋体"/>
          <w:b/>
          <w:bCs/>
          <w:kern w:val="0"/>
          <w:sz w:val="24"/>
          <w:szCs w:val="24"/>
        </w:rPr>
        <w:t>、合同价款</w:t>
      </w:r>
    </w:p>
    <w:p w14:paraId="0DAD4FD7">
      <w:pPr>
        <w:pStyle w:val="4"/>
        <w:keepNext w:val="0"/>
        <w:keepLines w:val="0"/>
        <w:pageBreakBefore w:val="0"/>
        <w:shd w:val="clear" w:color="auto" w:fill="FFFFFF"/>
        <w:kinsoku/>
        <w:wordWrap/>
        <w:overflowPunct/>
        <w:topLinePunct w:val="0"/>
        <w:autoSpaceDE/>
        <w:autoSpaceDN/>
        <w:bidi w:val="0"/>
        <w:adjustRightInd/>
        <w:snapToGrid/>
        <w:spacing w:line="360" w:lineRule="auto"/>
        <w:ind w:firstLine="360" w:firstLineChars="15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合同总价款为人民币（大写）：</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w:t>
      </w:r>
    </w:p>
    <w:p w14:paraId="65208E31">
      <w:pPr>
        <w:pStyle w:val="3"/>
        <w:keepNext w:val="0"/>
        <w:keepLines w:val="0"/>
        <w:pageBreakBefore w:val="0"/>
        <w:widowControl w:val="0"/>
        <w:kinsoku/>
        <w:wordWrap/>
        <w:overflowPunct/>
        <w:topLinePunct w:val="0"/>
        <w:autoSpaceDE/>
        <w:autoSpaceDN/>
        <w:bidi w:val="0"/>
        <w:adjustRightInd/>
        <w:snapToGrid/>
        <w:spacing w:before="179" w:line="360" w:lineRule="auto"/>
        <w:ind w:firstLine="360" w:firstLineChars="15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合同签订生效后,最终按签订合同总人数据实结算。合同金额包含但不限于保险费、服务费、税费、出单、批改、理赔协助、税金等其他与招标相关的一切费用。</w:t>
      </w:r>
    </w:p>
    <w:p w14:paraId="3B2247F3">
      <w:pPr>
        <w:pStyle w:val="3"/>
        <w:spacing w:before="179" w:line="222" w:lineRule="auto"/>
        <w:rPr>
          <w:rFonts w:hint="eastAsia" w:ascii="仿宋" w:hAnsi="仿宋" w:eastAsia="仿宋" w:cs="宋体"/>
          <w:b/>
          <w:bCs/>
          <w:kern w:val="0"/>
          <w:sz w:val="24"/>
          <w:szCs w:val="24"/>
          <w:lang w:val="en-US" w:eastAsia="zh-CN"/>
        </w:rPr>
      </w:pPr>
      <w:r>
        <w:rPr>
          <w:rFonts w:hint="eastAsia" w:ascii="仿宋" w:hAnsi="仿宋" w:eastAsia="仿宋" w:cs="宋体"/>
          <w:b/>
          <w:bCs/>
          <w:kern w:val="0"/>
          <w:sz w:val="24"/>
          <w:szCs w:val="24"/>
          <w:lang w:val="en-US" w:eastAsia="zh-CN"/>
        </w:rPr>
        <w:t>四、结算方式</w:t>
      </w:r>
    </w:p>
    <w:p w14:paraId="15008B4D">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1.银行转账。</w:t>
      </w:r>
    </w:p>
    <w:p w14:paraId="217CFE1B">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2.付款方式：</w:t>
      </w:r>
    </w:p>
    <w:p w14:paraId="57CBB5AC">
      <w:pPr>
        <w:pStyle w:val="8"/>
        <w:keepNext w:val="0"/>
        <w:keepLines w:val="0"/>
        <w:pageBreakBefore w:val="0"/>
        <w:numPr>
          <w:ilvl w:val="0"/>
          <w:numId w:val="0"/>
        </w:numPr>
        <w:kinsoku/>
        <w:wordWrap/>
        <w:overflowPunct/>
        <w:topLinePunct w:val="0"/>
        <w:autoSpaceDE/>
        <w:autoSpaceDN/>
        <w:bidi w:val="0"/>
        <w:adjustRightInd/>
        <w:snapToGrid/>
        <w:spacing w:before="105" w:line="360" w:lineRule="auto"/>
        <w:ind w:firstLine="480" w:firstLineChars="200"/>
        <w:jc w:val="both"/>
        <w:textAlignment w:val="auto"/>
        <w:rPr>
          <w:rFonts w:hint="default" w:ascii="仿宋" w:hAnsi="仿宋" w:eastAsia="仿宋" w:cs="仿宋"/>
          <w:color w:val="030303"/>
          <w:sz w:val="24"/>
          <w:szCs w:val="22"/>
          <w:highlight w:val="none"/>
          <w:shd w:val="clear" w:fill="FFFFFF"/>
          <w:lang w:val="en-US" w:eastAsia="zh-CN"/>
        </w:rPr>
      </w:pPr>
      <w:r>
        <w:rPr>
          <w:rFonts w:hint="default" w:ascii="仿宋" w:hAnsi="仿宋" w:eastAsia="仿宋" w:cs="仿宋"/>
          <w:color w:val="030303"/>
          <w:sz w:val="24"/>
          <w:szCs w:val="22"/>
          <w:highlight w:val="none"/>
          <w:shd w:val="clear" w:fill="FFFFFF"/>
          <w:lang w:val="en-US" w:eastAsia="zh-CN"/>
        </w:rPr>
        <w:t>“政府补贴人群”的保费，采取预付资金和据实结算相结合模式。</w:t>
      </w:r>
    </w:p>
    <w:p w14:paraId="038A3F60">
      <w:pPr>
        <w:pStyle w:val="8"/>
        <w:keepNext w:val="0"/>
        <w:keepLines w:val="0"/>
        <w:pageBreakBefore w:val="0"/>
        <w:numPr>
          <w:ilvl w:val="0"/>
          <w:numId w:val="0"/>
        </w:numPr>
        <w:kinsoku/>
        <w:wordWrap/>
        <w:overflowPunct/>
        <w:topLinePunct w:val="0"/>
        <w:autoSpaceDE/>
        <w:autoSpaceDN/>
        <w:bidi w:val="0"/>
        <w:adjustRightInd/>
        <w:snapToGrid/>
        <w:spacing w:before="105" w:line="360" w:lineRule="auto"/>
        <w:ind w:firstLine="480" w:firstLineChars="200"/>
        <w:jc w:val="both"/>
        <w:textAlignment w:val="auto"/>
        <w:rPr>
          <w:rFonts w:hint="default" w:ascii="仿宋" w:hAnsi="仿宋" w:eastAsia="仿宋" w:cs="仿宋"/>
          <w:color w:val="030303"/>
          <w:sz w:val="24"/>
          <w:szCs w:val="22"/>
          <w:highlight w:val="none"/>
          <w:shd w:val="clear" w:fill="FFFFFF"/>
          <w:lang w:val="en-US" w:eastAsia="zh-CN"/>
        </w:rPr>
      </w:pPr>
      <w:r>
        <w:rPr>
          <w:rFonts w:hint="eastAsia" w:ascii="仿宋" w:hAnsi="仿宋" w:eastAsia="仿宋" w:cs="仿宋"/>
          <w:color w:val="030303"/>
          <w:sz w:val="24"/>
          <w:szCs w:val="22"/>
          <w:shd w:val="clear" w:fill="FFFFFF"/>
          <w:lang w:val="en-US" w:eastAsia="zh-CN"/>
        </w:rPr>
        <w:t>2</w:t>
      </w:r>
      <w:r>
        <w:rPr>
          <w:rFonts w:hint="default" w:ascii="仿宋" w:hAnsi="仿宋" w:eastAsia="仿宋" w:cs="仿宋"/>
          <w:color w:val="030303"/>
          <w:sz w:val="24"/>
          <w:szCs w:val="22"/>
          <w:shd w:val="clear" w:fill="FFFFFF"/>
          <w:lang w:val="en-US" w:eastAsia="zh-CN"/>
        </w:rPr>
        <w:t>.</w:t>
      </w:r>
      <w:r>
        <w:rPr>
          <w:rFonts w:hint="eastAsia" w:ascii="仿宋" w:hAnsi="仿宋" w:eastAsia="仿宋" w:cs="仿宋"/>
          <w:color w:val="030303"/>
          <w:sz w:val="24"/>
          <w:szCs w:val="22"/>
          <w:shd w:val="clear" w:fill="FFFFFF"/>
          <w:lang w:val="en-US" w:eastAsia="zh-CN"/>
        </w:rPr>
        <w:t>1</w:t>
      </w:r>
      <w:r>
        <w:rPr>
          <w:rFonts w:hint="default" w:ascii="仿宋" w:hAnsi="仿宋" w:eastAsia="仿宋" w:cs="仿宋"/>
          <w:color w:val="030303"/>
          <w:sz w:val="24"/>
          <w:szCs w:val="22"/>
          <w:highlight w:val="none"/>
          <w:shd w:val="clear" w:fill="FFFFFF"/>
          <w:lang w:val="en-US" w:eastAsia="zh-CN"/>
        </w:rPr>
        <w:t>在签订承保协议后，先向承保保险公</w:t>
      </w:r>
      <w:bookmarkStart w:id="7" w:name="_GoBack"/>
      <w:bookmarkEnd w:id="7"/>
      <w:r>
        <w:rPr>
          <w:rFonts w:hint="default" w:ascii="仿宋" w:hAnsi="仿宋" w:eastAsia="仿宋" w:cs="仿宋"/>
          <w:color w:val="030303"/>
          <w:sz w:val="24"/>
          <w:szCs w:val="22"/>
          <w:highlight w:val="none"/>
          <w:shd w:val="clear" w:fill="FFFFFF"/>
          <w:lang w:val="en-US" w:eastAsia="zh-CN"/>
        </w:rPr>
        <w:t>司预支付保险期全额保险费的50%;</w:t>
      </w:r>
    </w:p>
    <w:p w14:paraId="4F01CE68">
      <w:pPr>
        <w:pStyle w:val="8"/>
        <w:keepNext w:val="0"/>
        <w:keepLines w:val="0"/>
        <w:pageBreakBefore w:val="0"/>
        <w:numPr>
          <w:ilvl w:val="0"/>
          <w:numId w:val="0"/>
        </w:numPr>
        <w:kinsoku/>
        <w:wordWrap/>
        <w:overflowPunct/>
        <w:topLinePunct w:val="0"/>
        <w:autoSpaceDE/>
        <w:autoSpaceDN/>
        <w:bidi w:val="0"/>
        <w:adjustRightInd/>
        <w:snapToGrid/>
        <w:spacing w:before="105" w:line="360" w:lineRule="auto"/>
        <w:ind w:firstLine="480" w:firstLineChars="200"/>
        <w:jc w:val="both"/>
        <w:textAlignment w:val="auto"/>
        <w:rPr>
          <w:rFonts w:hint="default" w:ascii="仿宋" w:hAnsi="仿宋" w:eastAsia="仿宋" w:cs="仿宋"/>
          <w:color w:val="030303"/>
          <w:sz w:val="24"/>
          <w:szCs w:val="22"/>
          <w:highlight w:val="none"/>
          <w:shd w:val="clear" w:fill="FFFFFF"/>
          <w:lang w:val="en-US" w:eastAsia="zh-CN"/>
        </w:rPr>
      </w:pPr>
      <w:r>
        <w:rPr>
          <w:rFonts w:hint="default" w:ascii="仿宋" w:hAnsi="仿宋" w:eastAsia="仿宋" w:cs="仿宋"/>
          <w:color w:val="030303"/>
          <w:sz w:val="24"/>
          <w:szCs w:val="22"/>
          <w:shd w:val="clear" w:fill="FFFFFF"/>
          <w:lang w:val="en-US" w:eastAsia="zh-CN"/>
        </w:rPr>
        <w:t>2.</w:t>
      </w:r>
      <w:r>
        <w:rPr>
          <w:rFonts w:hint="eastAsia" w:ascii="仿宋" w:hAnsi="仿宋" w:eastAsia="仿宋" w:cs="仿宋"/>
          <w:color w:val="030303"/>
          <w:sz w:val="24"/>
          <w:szCs w:val="22"/>
          <w:shd w:val="clear" w:fill="FFFFFF"/>
          <w:lang w:val="en-US" w:eastAsia="zh-CN"/>
        </w:rPr>
        <w:t>2</w:t>
      </w:r>
      <w:r>
        <w:rPr>
          <w:rFonts w:hint="default" w:ascii="仿宋" w:hAnsi="仿宋" w:eastAsia="仿宋" w:cs="仿宋"/>
          <w:color w:val="030303"/>
          <w:sz w:val="24"/>
          <w:szCs w:val="22"/>
          <w:highlight w:val="none"/>
          <w:shd w:val="clear" w:fill="FFFFFF"/>
          <w:lang w:val="en-US" w:eastAsia="zh-CN"/>
        </w:rPr>
        <w:t>保险期结束后，根据当年理赔金额占保险费总额比例，确定保险费支付金额，具体标准如下：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8"/>
        <w:gridCol w:w="3972"/>
      </w:tblGrid>
      <w:tr w14:paraId="3329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9" w:type="pct"/>
          </w:tcPr>
          <w:p w14:paraId="5AF1E58D">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center"/>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当年理赔金额占保险费总额比例</w:t>
            </w:r>
          </w:p>
        </w:tc>
        <w:tc>
          <w:tcPr>
            <w:tcW w:w="2330" w:type="pct"/>
          </w:tcPr>
          <w:p w14:paraId="1E71C520">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center"/>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支付保险费</w:t>
            </w:r>
          </w:p>
        </w:tc>
      </w:tr>
      <w:tr w14:paraId="3908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9" w:type="pct"/>
          </w:tcPr>
          <w:p w14:paraId="2A263987">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center"/>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理赔金额占比≥80%</w:t>
            </w:r>
          </w:p>
        </w:tc>
        <w:tc>
          <w:tcPr>
            <w:tcW w:w="2330" w:type="pct"/>
          </w:tcPr>
          <w:p w14:paraId="61527D8C">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center"/>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全额支付</w:t>
            </w:r>
          </w:p>
        </w:tc>
      </w:tr>
      <w:tr w14:paraId="0775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9" w:type="pct"/>
          </w:tcPr>
          <w:p w14:paraId="14162985">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center"/>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理赔金额占比&lt;80%</w:t>
            </w:r>
          </w:p>
        </w:tc>
        <w:tc>
          <w:tcPr>
            <w:tcW w:w="2330" w:type="pct"/>
          </w:tcPr>
          <w:p w14:paraId="5787B60B">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center"/>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理赔金额</w:t>
            </w:r>
            <w:r>
              <w:rPr>
                <w:rFonts w:hint="eastAsia"/>
                <w:highlight w:val="none"/>
                <w:lang w:val="en-US" w:eastAsia="zh-CN"/>
              </w:rPr>
              <w:t>×</w:t>
            </w:r>
            <w:r>
              <w:rPr>
                <w:rFonts w:hint="default" w:ascii="仿宋" w:hAnsi="仿宋" w:eastAsia="仿宋" w:cs="仿宋"/>
                <w:color w:val="030303"/>
                <w:sz w:val="24"/>
                <w:szCs w:val="22"/>
                <w:highlight w:val="none"/>
                <w:shd w:val="clear" w:fill="FFFFFF"/>
                <w:vertAlign w:val="baseline"/>
                <w:lang w:val="en-US" w:eastAsia="zh-CN"/>
              </w:rPr>
              <w:t>1.2</w:t>
            </w:r>
          </w:p>
        </w:tc>
      </w:tr>
      <w:tr w14:paraId="68D4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Pr>
          <w:p w14:paraId="4413237E">
            <w:pPr>
              <w:pStyle w:val="8"/>
              <w:keepNext w:val="0"/>
              <w:keepLines w:val="0"/>
              <w:pageBreakBefore w:val="0"/>
              <w:widowControl w:val="0"/>
              <w:numPr>
                <w:ilvl w:val="0"/>
                <w:numId w:val="0"/>
              </w:numPr>
              <w:kinsoku/>
              <w:wordWrap/>
              <w:overflowPunct/>
              <w:topLinePunct w:val="0"/>
              <w:autoSpaceDE/>
              <w:autoSpaceDN/>
              <w:bidi w:val="0"/>
              <w:adjustRightInd/>
              <w:snapToGrid/>
              <w:spacing w:before="105" w:line="360" w:lineRule="auto"/>
              <w:jc w:val="both"/>
              <w:textAlignment w:val="auto"/>
              <w:rPr>
                <w:rFonts w:hint="default" w:ascii="仿宋" w:hAnsi="仿宋" w:eastAsia="仿宋" w:cs="仿宋"/>
                <w:color w:val="030303"/>
                <w:sz w:val="24"/>
                <w:szCs w:val="22"/>
                <w:highlight w:val="none"/>
                <w:shd w:val="clear" w:fill="FFFFFF"/>
                <w:vertAlign w:val="baseline"/>
                <w:lang w:val="en-US" w:eastAsia="zh-CN"/>
              </w:rPr>
            </w:pPr>
            <w:r>
              <w:rPr>
                <w:rFonts w:hint="default" w:ascii="仿宋" w:hAnsi="仿宋" w:eastAsia="仿宋" w:cs="仿宋"/>
                <w:color w:val="030303"/>
                <w:sz w:val="24"/>
                <w:szCs w:val="22"/>
                <w:highlight w:val="none"/>
                <w:shd w:val="clear" w:fill="FFFFFF"/>
                <w:vertAlign w:val="baseline"/>
                <w:lang w:val="en-US" w:eastAsia="zh-CN"/>
              </w:rPr>
              <w:t>备注:当“理赔金额</w:t>
            </w:r>
            <w:r>
              <w:rPr>
                <w:rFonts w:hint="eastAsia"/>
                <w:highlight w:val="none"/>
                <w:lang w:val="en-US" w:eastAsia="zh-CN"/>
              </w:rPr>
              <w:t>×</w:t>
            </w:r>
            <w:r>
              <w:rPr>
                <w:rFonts w:hint="default" w:ascii="仿宋" w:hAnsi="仿宋" w:eastAsia="仿宋" w:cs="仿宋"/>
                <w:color w:val="030303"/>
                <w:sz w:val="24"/>
                <w:szCs w:val="22"/>
                <w:highlight w:val="none"/>
                <w:shd w:val="clear" w:fill="FFFFFF"/>
                <w:vertAlign w:val="baseline"/>
                <w:lang w:val="en-US" w:eastAsia="zh-CN"/>
              </w:rPr>
              <w:t>1.2”不足全额保险费的50%的部分资金，各承保保险公司返还民政部门。</w:t>
            </w:r>
          </w:p>
        </w:tc>
      </w:tr>
    </w:tbl>
    <w:p w14:paraId="65314DC3">
      <w:pPr>
        <w:pStyle w:val="3"/>
        <w:spacing w:before="179" w:line="222" w:lineRule="auto"/>
        <w:rPr>
          <w:rFonts w:ascii="仿宋" w:hAnsi="仿宋" w:eastAsia="仿宋" w:cs="宋体"/>
          <w:b/>
          <w:bCs/>
          <w:kern w:val="0"/>
          <w:sz w:val="24"/>
          <w:szCs w:val="24"/>
        </w:rPr>
      </w:pPr>
      <w:r>
        <w:rPr>
          <w:rFonts w:hint="eastAsia" w:ascii="仿宋" w:hAnsi="仿宋" w:eastAsia="仿宋" w:cs="宋体"/>
          <w:b/>
          <w:bCs/>
          <w:kern w:val="0"/>
          <w:sz w:val="24"/>
          <w:szCs w:val="24"/>
          <w:lang w:val="en-US" w:eastAsia="zh-CN"/>
        </w:rPr>
        <w:t>五</w:t>
      </w:r>
      <w:r>
        <w:rPr>
          <w:rFonts w:hint="eastAsia" w:ascii="仿宋" w:hAnsi="仿宋" w:eastAsia="仿宋" w:cs="宋体"/>
          <w:b/>
          <w:bCs/>
          <w:kern w:val="0"/>
          <w:sz w:val="24"/>
          <w:szCs w:val="24"/>
        </w:rPr>
        <w:t>、服务地点及服务期</w:t>
      </w:r>
    </w:p>
    <w:p w14:paraId="46E51C76">
      <w:pPr>
        <w:pStyle w:val="4"/>
        <w:shd w:val="clear" w:color="auto" w:fill="FFFFFF"/>
        <w:spacing w:line="360" w:lineRule="auto"/>
        <w:ind w:firstLine="480" w:firstLineChars="200"/>
        <w:rPr>
          <w:rFonts w:ascii="仿宋" w:hAnsi="仿宋" w:eastAsia="仿宋" w:cs="仿宋"/>
          <w:sz w:val="24"/>
          <w:szCs w:val="24"/>
        </w:rPr>
      </w:pPr>
      <w:r>
        <w:rPr>
          <w:rFonts w:ascii="仿宋" w:hAnsi="仿宋" w:eastAsia="仿宋" w:cs="仿宋"/>
          <w:sz w:val="24"/>
          <w:szCs w:val="24"/>
        </w:rPr>
        <w:t>（一）项目服务地点：采购人指定地点。</w:t>
      </w:r>
    </w:p>
    <w:p w14:paraId="73B12B2C">
      <w:pPr>
        <w:pStyle w:val="4"/>
        <w:shd w:val="clear" w:color="auto" w:fill="FFFFFF"/>
        <w:spacing w:line="360" w:lineRule="auto"/>
        <w:ind w:firstLine="480" w:firstLineChars="200"/>
        <w:rPr>
          <w:rFonts w:ascii="仿宋" w:hAnsi="仿宋" w:eastAsia="仿宋" w:cs="仿宋"/>
          <w:sz w:val="24"/>
          <w:szCs w:val="24"/>
        </w:rPr>
      </w:pPr>
      <w:r>
        <w:rPr>
          <w:rFonts w:ascii="仿宋" w:hAnsi="仿宋" w:eastAsia="仿宋" w:cs="仿宋"/>
          <w:sz w:val="24"/>
          <w:szCs w:val="24"/>
        </w:rPr>
        <w:t>（二）服务期：</w:t>
      </w:r>
      <w:r>
        <w:rPr>
          <w:rFonts w:hint="eastAsia" w:ascii="仿宋" w:hAnsi="仿宋" w:eastAsia="仿宋" w:cs="仿宋"/>
          <w:sz w:val="24"/>
          <w:szCs w:val="24"/>
        </w:rPr>
        <w:t>自合同签订之日起3年（本项目预算为一年预算；若供应商所提供的服务质量经采购人绩效考评及综合评分满意后，双方可续签下一年度合同；若考核不合格，则不再进行续签。）</w:t>
      </w:r>
    </w:p>
    <w:p w14:paraId="618DC1F5">
      <w:pPr>
        <w:spacing w:line="360" w:lineRule="auto"/>
        <w:rPr>
          <w:rFonts w:hint="eastAsia" w:ascii="仿宋" w:hAnsi="仿宋" w:eastAsia="仿宋" w:cs="宋体"/>
          <w:b/>
          <w:bCs/>
          <w:szCs w:val="24"/>
        </w:rPr>
      </w:pPr>
      <w:r>
        <w:rPr>
          <w:rFonts w:hint="eastAsia" w:ascii="仿宋" w:hAnsi="仿宋" w:eastAsia="仿宋" w:cs="宋体"/>
          <w:b/>
          <w:bCs/>
          <w:kern w:val="0"/>
          <w:sz w:val="24"/>
          <w:szCs w:val="24"/>
          <w:lang w:val="en-US" w:eastAsia="zh-CN" w:bidi="ar-SA"/>
        </w:rPr>
        <w:t>六、合同双方的权利和义务</w:t>
      </w:r>
    </w:p>
    <w:p w14:paraId="5090D78A">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（一）甲方的权利和义务</w:t>
      </w:r>
    </w:p>
    <w:p w14:paraId="3CFC42A4">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1、甲方有权对合同规定范围内乙方的服务行为进行监督和检查，拥有监管权。有权定期核对乙方提供服务所配备的人员数量。对甲方认为不合理的部分有权下达整改通知书，并要求乙方限期整改。</w:t>
      </w:r>
    </w:p>
    <w:p w14:paraId="40A5EECB">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2、甲方有权对投保人员参保情况进行定期检查。</w:t>
      </w:r>
    </w:p>
    <w:p w14:paraId="12DE9E03">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3、乙方应在合同签订后立即启动合同工作内容，并保证在本合同执行过程中根据甲方的实际情况，向甲方提供符合国家有关法规和行业规范的服务。</w:t>
      </w:r>
    </w:p>
    <w:p w14:paraId="61DD5F58">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4、根据本合同规定，按时向乙方支付应付服务费用。</w:t>
      </w:r>
    </w:p>
    <w:p w14:paraId="7DF9DEC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5、国家法律、法规所规定由甲方承担的其它责任。</w:t>
      </w:r>
    </w:p>
    <w:p w14:paraId="7A5240B1">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（二）乙方的权利和义务</w:t>
      </w:r>
    </w:p>
    <w:p w14:paraId="502B66F5">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1、对本合同规定的委托服务范围内的项目享有管理权及服务义务。</w:t>
      </w:r>
    </w:p>
    <w:p w14:paraId="1B23C296">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2、根据本合同的规定向甲方收取相关服务费用，并有权在本项目管理范围内管理及合理使用。</w:t>
      </w:r>
    </w:p>
    <w:p w14:paraId="1EFBC428">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3、及时向甲方通告本项目服务范围内有关服务的重大事项，及时配合处理投诉。</w:t>
      </w:r>
    </w:p>
    <w:p w14:paraId="2077AA64">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4、接受项目行业管理部门及政府有关部门的指导，接受甲方的监督。</w:t>
      </w:r>
    </w:p>
    <w:p w14:paraId="36AA4BA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5、国家法律、法规所规定由乙方承担的其它责任。</w:t>
      </w:r>
    </w:p>
    <w:p w14:paraId="1BAF58CA">
      <w:pPr>
        <w:spacing w:line="360" w:lineRule="auto"/>
        <w:rPr>
          <w:rFonts w:hint="eastAsia" w:ascii="仿宋" w:hAnsi="仿宋" w:eastAsia="仿宋" w:cs="宋体"/>
          <w:b/>
          <w:bCs/>
          <w:sz w:val="24"/>
          <w:szCs w:val="32"/>
        </w:rPr>
      </w:pPr>
      <w:r>
        <w:rPr>
          <w:rFonts w:hint="eastAsia" w:ascii="仿宋" w:hAnsi="仿宋" w:eastAsia="仿宋" w:cs="宋体"/>
          <w:b/>
          <w:bCs/>
          <w:sz w:val="24"/>
          <w:szCs w:val="32"/>
          <w:lang w:val="en-US" w:eastAsia="zh-CN"/>
        </w:rPr>
        <w:t>七</w:t>
      </w:r>
      <w:r>
        <w:rPr>
          <w:rFonts w:hint="eastAsia" w:ascii="仿宋" w:hAnsi="仿宋" w:eastAsia="仿宋" w:cs="宋体"/>
          <w:b/>
          <w:bCs/>
          <w:sz w:val="24"/>
          <w:szCs w:val="32"/>
        </w:rPr>
        <w:t>、违约责任</w:t>
      </w:r>
    </w:p>
    <w:p w14:paraId="01A417BF">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1、不按约定时间开始承担保险责任。</w:t>
      </w:r>
    </w:p>
    <w:p w14:paraId="304D0348">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2、</w:t>
      </w:r>
      <w:r>
        <w:rPr>
          <w:rFonts w:hint="eastAsia" w:ascii="仿宋" w:hAnsi="仿宋" w:eastAsia="仿宋" w:cs="宋体"/>
          <w:sz w:val="24"/>
          <w:szCs w:val="32"/>
        </w:rPr>
        <w:fldChar w:fldCharType="begin"/>
      </w:r>
      <w:r>
        <w:rPr>
          <w:rFonts w:hint="eastAsia" w:ascii="仿宋" w:hAnsi="仿宋" w:eastAsia="仿宋" w:cs="宋体"/>
          <w:sz w:val="24"/>
          <w:szCs w:val="32"/>
        </w:rPr>
        <w:instrText xml:space="preserve"> HYPERLINK "https://baike.sogou.com/lemma/ShowInnerLink.htm?lemmaId=75727766&amp;ss_c=ssc.citiao.link" </w:instrText>
      </w:r>
      <w:r>
        <w:rPr>
          <w:rFonts w:hint="eastAsia" w:ascii="仿宋" w:hAnsi="仿宋" w:eastAsia="仿宋" w:cs="宋体"/>
          <w:sz w:val="24"/>
          <w:szCs w:val="32"/>
        </w:rPr>
        <w:fldChar w:fldCharType="separate"/>
      </w:r>
      <w:r>
        <w:rPr>
          <w:rFonts w:hint="eastAsia" w:ascii="仿宋" w:hAnsi="仿宋" w:eastAsia="仿宋" w:cs="宋体"/>
          <w:sz w:val="24"/>
          <w:szCs w:val="32"/>
        </w:rPr>
        <w:t>保险人不向投保人说明保险合同条款</w:t>
      </w:r>
      <w:r>
        <w:rPr>
          <w:rFonts w:hint="eastAsia" w:ascii="仿宋" w:hAnsi="仿宋" w:eastAsia="仿宋" w:cs="宋体"/>
          <w:sz w:val="24"/>
          <w:szCs w:val="32"/>
        </w:rPr>
        <w:fldChar w:fldCharType="end"/>
      </w:r>
      <w:r>
        <w:rPr>
          <w:rFonts w:hint="eastAsia" w:ascii="仿宋" w:hAnsi="仿宋" w:eastAsia="仿宋" w:cs="宋体"/>
          <w:sz w:val="24"/>
          <w:szCs w:val="32"/>
        </w:rPr>
        <w:t>的内容，尤其是责任免除条款未向投保人明确说明。</w:t>
      </w:r>
    </w:p>
    <w:p w14:paraId="68246344">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3、不按合同约定对保险标的的安全状况进行检查，并及时向投保人、被保险人提出消除</w:t>
      </w:r>
      <w:r>
        <w:rPr>
          <w:rFonts w:hint="eastAsia" w:ascii="仿宋" w:hAnsi="仿宋" w:eastAsia="仿宋" w:cs="宋体"/>
          <w:sz w:val="24"/>
          <w:szCs w:val="32"/>
        </w:rPr>
        <w:fldChar w:fldCharType="begin"/>
      </w:r>
      <w:r>
        <w:rPr>
          <w:rFonts w:hint="eastAsia" w:ascii="仿宋" w:hAnsi="仿宋" w:eastAsia="仿宋" w:cs="宋体"/>
          <w:sz w:val="24"/>
          <w:szCs w:val="32"/>
        </w:rPr>
        <w:instrText xml:space="preserve"> HYPERLINK "https://baike.sogou.com/lemma/ShowInnerLink.htm?lemmaId=66262208&amp;ss_c=ssc.citiao.link" </w:instrText>
      </w:r>
      <w:r>
        <w:rPr>
          <w:rFonts w:hint="eastAsia" w:ascii="仿宋" w:hAnsi="仿宋" w:eastAsia="仿宋" w:cs="宋体"/>
          <w:sz w:val="24"/>
          <w:szCs w:val="32"/>
        </w:rPr>
        <w:fldChar w:fldCharType="separate"/>
      </w:r>
      <w:r>
        <w:rPr>
          <w:rFonts w:hint="eastAsia" w:ascii="仿宋" w:hAnsi="仿宋" w:eastAsia="仿宋" w:cs="宋体"/>
          <w:sz w:val="24"/>
          <w:szCs w:val="32"/>
        </w:rPr>
        <w:t>不安全因素</w:t>
      </w:r>
      <w:r>
        <w:rPr>
          <w:rFonts w:hint="eastAsia" w:ascii="仿宋" w:hAnsi="仿宋" w:eastAsia="仿宋" w:cs="宋体"/>
          <w:sz w:val="24"/>
          <w:szCs w:val="32"/>
        </w:rPr>
        <w:fldChar w:fldCharType="end"/>
      </w:r>
      <w:r>
        <w:rPr>
          <w:rFonts w:hint="eastAsia" w:ascii="仿宋" w:hAnsi="仿宋" w:eastAsia="仿宋" w:cs="宋体"/>
          <w:sz w:val="24"/>
          <w:szCs w:val="32"/>
        </w:rPr>
        <w:t>和隐患的书面建议。</w:t>
      </w:r>
    </w:p>
    <w:p w14:paraId="29C268F4">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4、在保险有效期间，未经投保人和被保险人的同意擅自批单变更合同内容。</w:t>
      </w:r>
    </w:p>
    <w:p w14:paraId="0354159B">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5、保险事故发生后，不履行合同约定责任范围内的保险赔付，不及时核损支付赔款。</w:t>
      </w:r>
    </w:p>
    <w:p w14:paraId="323E8C50">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6、若保险人单方面终止合同或逾期完成合同任务，则视为保险人违约，保险人违约应按照合同总金额的双倍金额向投标人或被保险人支付违约金；</w:t>
      </w:r>
    </w:p>
    <w:p w14:paraId="0510AE8C">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mc:AlternateContent>
          <mc:Choice Requires="wps">
            <w:drawing>
              <wp:anchor distT="0" distB="0" distL="114300" distR="114300" simplePos="0" relativeHeight="251659264" behindDoc="0" locked="0" layoutInCell="0" allowOverlap="1">
                <wp:simplePos x="0" y="0"/>
                <wp:positionH relativeFrom="page">
                  <wp:posOffset>1043940</wp:posOffset>
                </wp:positionH>
                <wp:positionV relativeFrom="page">
                  <wp:posOffset>9912985</wp:posOffset>
                </wp:positionV>
                <wp:extent cx="5715000" cy="6350"/>
                <wp:effectExtent l="0" t="0" r="0" b="0"/>
                <wp:wrapNone/>
                <wp:docPr id="12" name="任意多边形 12"/>
                <wp:cNvGraphicFramePr/>
                <a:graphic xmlns:a="http://schemas.openxmlformats.org/drawingml/2006/main">
                  <a:graphicData uri="http://schemas.microsoft.com/office/word/2010/wordprocessingShape">
                    <wps:wsp>
                      <wps:cNvSpPr>
                        <a:spLocks noChangeArrowheads="1"/>
                      </wps:cNvSpPr>
                      <wps:spPr bwMode="auto">
                        <a:xfrm>
                          <a:off x="0" y="0"/>
                          <a:ext cx="5715000" cy="6350"/>
                        </a:xfrm>
                        <a:custGeom>
                          <a:avLst/>
                          <a:gdLst>
                            <a:gd name="T0" fmla="*/ 0 w 9000"/>
                            <a:gd name="T1" fmla="*/ 0 h 10"/>
                            <a:gd name="T2" fmla="*/ 9000 w 9000"/>
                            <a:gd name="T3" fmla="*/ 0 h 10"/>
                            <a:gd name="T4" fmla="*/ 9000 w 9000"/>
                            <a:gd name="T5" fmla="*/ 9 h 10"/>
                            <a:gd name="T6" fmla="*/ 0 w 9000"/>
                            <a:gd name="T7" fmla="*/ 9 h 10"/>
                            <a:gd name="T8" fmla="*/ 0 w 9000"/>
                            <a:gd name="T9" fmla="*/ 0 h 10"/>
                          </a:gdLst>
                          <a:ahLst/>
                          <a:cxnLst>
                            <a:cxn ang="0">
                              <a:pos x="T0" y="T1"/>
                            </a:cxn>
                            <a:cxn ang="0">
                              <a:pos x="T2" y="T3"/>
                            </a:cxn>
                            <a:cxn ang="0">
                              <a:pos x="T4" y="T5"/>
                            </a:cxn>
                            <a:cxn ang="0">
                              <a:pos x="T6" y="T7"/>
                            </a:cxn>
                            <a:cxn ang="0">
                              <a:pos x="T8" y="T9"/>
                            </a:cxn>
                          </a:cxnLst>
                          <a:rect l="0" t="0" r="r" b="b"/>
                          <a:pathLst>
                            <a:path w="9000" h="10">
                              <a:moveTo>
                                <a:pt x="0" y="0"/>
                              </a:moveTo>
                              <a:lnTo>
                                <a:pt x="9000" y="0"/>
                              </a:lnTo>
                              <a:lnTo>
                                <a:pt x="9000" y="9"/>
                              </a:lnTo>
                              <a:lnTo>
                                <a:pt x="0" y="9"/>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82.2pt;margin-top:780.55pt;height:0.5pt;width:450pt;mso-position-horizontal-relative:page;mso-position-vertical-relative:page;z-index:251659264;mso-width-relative:page;mso-height-relative:page;" fillcolor="#000000" filled="t" stroked="f" coordsize="9000,10" o:allowincell="f" o:gfxdata="UEsDBAoAAAAAAIdO4kAAAAAAAAAAAAAAAAAEAAAAZHJzL1BLAwQUAAAACACHTuJAT2PDGtYAAAAO&#10;AQAADwAAAGRycy9kb3ducmV2LnhtbE2PzU7DMBCE70i8g7VI3KidqkQoxOmhojk3JerZjZckEK+j&#10;2P19era9wG1ndjT7bb48u0EccQq9Jw3JTIFAarztqdVQf65f3kCEaMiawRNquGCAZfH4kJvM+hNV&#10;eNzGVnAJhcxo6GIcMylD06EzYeZHJN59+cmZyHJqpZ3MicvdIOdKpdKZnvhCZ0Zcddj8bA9Ow2pT&#10;x/hd1tXlutl9NGUpr+tKav38lKh3EBHP8S8MN3xGh4KZ9v5ANoiBdbpYcJSH1zRJQNwi6u7t7948&#10;AVnk8v8bxS9QSwMEFAAAAAgAh07iQCSh6bkXAwAAuwcAAA4AAABkcnMvZTJvRG9jLnhtbK1V3W7T&#10;MBS+R+IdLF8isSRdu9Jq6TRtGkLiZ9LKA7iO00QkPsZ2m45r7rnnEvESaIKnYYjH4NhJurRboRf0&#10;IrVzvnw+33fs4+OTVVmQpdAmBxnT6CCkREgOSS7nMX07vXj6jBJjmUxYAVLE9FoYejJ5/Oi4UmPR&#10;gwyKRGiCJNKMKxXTzFo1DgLDM1EycwBKSAymoEtmcarnQaJZhexlEfTC8CioQCdKAxfG4NvzOkgb&#10;Rr0PIaRpzsU58EUppK1ZtSiYRUkmy5WhE59tmgpu36SpEZYUMUWl1j9xERzP3DOYHLPxXDOV5bxJ&#10;ge2TwpamkuUSF11TnTPLyELn96jKnGswkNoDDmVQC/GOoIoo3PLmKmNKeC1otVFr083/o+Wvl5ea&#10;5AnuhB4lkpVY8Z83N78+frr9+vn3j2+3378QjKBNlTJjRF+pS+2EGvUS+DtDJJxlTM7FqdZQZYIl&#10;mFzk8MHGB25i8FMyq15BgouwhQXv2CrVpSNEL8jKF+Z6XRixsoTjy8EwGoQh1oxj7Ohw4OsWsHH7&#10;LV8Y+1yA52HLl8bWZU1w5IuSNMqmSJGWBVb4SUBCUpGRY23ALSbawGQkuodAp9YsjmEH0WEHFpKH&#10;iPodxF+IBl3Yg0RHHcSudIYdzOhBFjz5a127WEYbmFYU1mLeus2ytgB8JZsK4IjgLnGFdQVRYFyt&#10;XTmwoNN6v7Axolx0Bxhdd+BDv7n+BUZnHXiwFxjdc+DhXmA0yYFHXTDKv9Oqselstxvt283MfYPq&#10;mXUWtUNSxdTvQ5Lh0akNKmEppuARdutU4Fp30UJ2UTULZteejzbc/itPtoa1Gtpw+1/D6uLsg9le&#10;jhdgBErFVJ3W9cCLdl51jquBIk8u8qJwYo2ez84KTZbMtWv/a2zegBV+m0hwn9XLuDe+4bgeU/eq&#10;GSTX2G801D0fbzwcZKA/UFJhv4+peb9gWlBSvJDYs0ZRv4+KrZ/0B8MeTnQ3MutGmORIFVNLcVu7&#10;4ZmtL5WF0vk8w5Uiv9ElnGKfS3PXkHx+dVbNBHu696a5f9yl0Z171N2dO/k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T2PDGtYAAAAOAQAADwAAAAAAAAABACAAAAAiAAAAZHJzL2Rvd25yZXYueG1s&#10;UEsBAhQAFAAAAAgAh07iQCSh6bkXAwAAuwcAAA4AAAAAAAAAAQAgAAAAJQEAAGRycy9lMm9Eb2Mu&#10;eG1sUEsFBgAAAAAGAAYAWQEAAK4GAAAAAA==&#10;" path="m0,0l9000,0,9000,9,0,9,0,0xe">
                <v:path o:connectlocs="0,0;5715000,0;5715000,5715;0,5715;0,0" o:connectangles="0,0,0,0,0"/>
                <v:fill on="t" focussize="0,0"/>
                <v:stroke on="f"/>
                <v:imagedata o:title=""/>
                <o:lock v:ext="edit" aspectratio="f"/>
              </v:shape>
            </w:pict>
          </mc:Fallback>
        </mc:AlternateContent>
      </w:r>
      <w:r>
        <w:rPr>
          <w:rFonts w:hint="eastAsia" w:ascii="仿宋" w:hAnsi="仿宋" w:eastAsia="仿宋" w:cs="宋体"/>
          <w:sz w:val="24"/>
          <w:szCs w:val="32"/>
        </w:rPr>
        <w:t>7、保险人应当及时理赔、核定损失并履行赔偿或给付保险金，如果未及时履行前述义务，保险人除给付保险金外，应当赔偿投标人或被保险人因此收到的损失。</w:t>
      </w:r>
    </w:p>
    <w:p w14:paraId="51C1FA7D">
      <w:pPr>
        <w:spacing w:line="360" w:lineRule="auto"/>
        <w:rPr>
          <w:rFonts w:hint="eastAsia" w:ascii="仿宋" w:hAnsi="仿宋" w:eastAsia="仿宋" w:cs="宋体"/>
          <w:b/>
          <w:bCs/>
          <w:sz w:val="24"/>
          <w:szCs w:val="32"/>
          <w:lang w:val="en-US" w:eastAsia="zh-CN"/>
        </w:rPr>
      </w:pPr>
      <w:r>
        <w:rPr>
          <w:rFonts w:hint="eastAsia" w:ascii="仿宋" w:hAnsi="仿宋" w:eastAsia="仿宋" w:cs="宋体"/>
          <w:b/>
          <w:bCs/>
          <w:sz w:val="24"/>
          <w:szCs w:val="32"/>
          <w:lang w:val="en-US" w:eastAsia="zh-CN"/>
        </w:rPr>
        <w:t>八、合同的变更与解除</w:t>
      </w:r>
    </w:p>
    <w:p w14:paraId="5511AB86">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1、本合同的变更必须由双方协商一致，并以书面形式确定。但有下列情形之一的，一方可以向另一方提出变更合同权利与义务的请求，另一方应当在十日内予以答复；逾期未予答复的，视为同意：</w:t>
      </w:r>
    </w:p>
    <w:p w14:paraId="517AFB6B">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（1）项目发生严重的技术风险；</w:t>
      </w:r>
    </w:p>
    <w:p w14:paraId="5B927609">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（2）本合同签署后，国家相关法规政策的变动导致项目的实施发生变动，需要补充约定的。</w:t>
      </w:r>
    </w:p>
    <w:p w14:paraId="54AE9CDF">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2、双方确定，出现下列情形，致使本合同的履行成为不必要或不可能的，可以解除本合同：</w:t>
      </w:r>
    </w:p>
    <w:p w14:paraId="3969C4E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（1）因发生不可抗力；</w:t>
      </w:r>
    </w:p>
    <w:p w14:paraId="4CD3C59B">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（2）因国家相关法规政策的变动导致项目无法完成 ；</w:t>
      </w:r>
    </w:p>
    <w:p w14:paraId="07F6C1AF">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（3）无论何等原因，合同一方未能履行本合同规定的主要义务，守约方有权解除。</w:t>
      </w:r>
    </w:p>
    <w:p w14:paraId="6F9E6737">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3、双方协商一致可以解除本合同。</w:t>
      </w:r>
    </w:p>
    <w:p w14:paraId="3FC1F897">
      <w:pPr>
        <w:spacing w:line="360" w:lineRule="auto"/>
        <w:rPr>
          <w:rFonts w:hint="eastAsia" w:ascii="仿宋" w:hAnsi="仿宋" w:eastAsia="仿宋" w:cs="宋体"/>
          <w:b/>
          <w:bCs/>
          <w:sz w:val="24"/>
          <w:szCs w:val="32"/>
          <w:lang w:val="en-US" w:eastAsia="zh-CN"/>
        </w:rPr>
      </w:pPr>
      <w:r>
        <w:rPr>
          <w:rFonts w:hint="eastAsia" w:ascii="仿宋" w:hAnsi="仿宋" w:eastAsia="仿宋" w:cs="宋体"/>
          <w:b/>
          <w:bCs/>
          <w:sz w:val="24"/>
          <w:szCs w:val="32"/>
          <w:lang w:val="en-US" w:eastAsia="zh-CN"/>
        </w:rPr>
        <w:t>九、合同争议解决的方式</w:t>
      </w:r>
    </w:p>
    <w:p w14:paraId="1C51471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本合同在履行过程中发生的争议， 由甲、乙双方当事人协商解决，协商不成的按下列第（二）种方式解决：</w:t>
      </w:r>
    </w:p>
    <w:p w14:paraId="1C23B31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（一）提交西安仲裁委员会仲裁；</w:t>
      </w:r>
    </w:p>
    <w:p w14:paraId="7983BF0A">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（二）依法向甲方所在地人民法院起诉。</w:t>
      </w:r>
    </w:p>
    <w:p w14:paraId="324306CD">
      <w:pPr>
        <w:spacing w:line="360" w:lineRule="auto"/>
        <w:rPr>
          <w:rFonts w:hint="eastAsia" w:ascii="仿宋" w:hAnsi="仿宋" w:eastAsia="仿宋" w:cs="宋体"/>
          <w:b/>
          <w:bCs/>
          <w:sz w:val="24"/>
          <w:szCs w:val="32"/>
          <w:lang w:val="en-US" w:eastAsia="zh-CN"/>
        </w:rPr>
      </w:pPr>
      <w:r>
        <w:rPr>
          <w:rFonts w:hint="eastAsia" w:ascii="仿宋" w:hAnsi="仿宋" w:eastAsia="仿宋" w:cs="宋体"/>
          <w:b/>
          <w:bCs/>
          <w:sz w:val="24"/>
          <w:szCs w:val="32"/>
          <w:lang w:val="en-US" w:eastAsia="zh-CN"/>
        </w:rPr>
        <w:t>十、其他</w:t>
      </w:r>
    </w:p>
    <w:p w14:paraId="09E61F6E">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（一）乙方在日常服务、索赔过程中的过失或疏忽或其它任何违反本合同的行为所造成的后果，由乙方统一承担；</w:t>
      </w:r>
    </w:p>
    <w:p w14:paraId="273EEED7">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（二）本合同项下双方相互提供的文件、资料，双方除为履行合同的目的外，均不得泄漏给其他方；</w:t>
      </w:r>
    </w:p>
    <w:p w14:paraId="0FC0F72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（三）任何一方向其他方提出的函电通知和要求，按合同地址派员递送或挂号、传真发送的，在取得对方人员接收确认后，即被认为已经被正式接收；</w:t>
      </w:r>
    </w:p>
    <w:p w14:paraId="23AF3723">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（四）承保人在接到出单通知后，按照出单通知书提供的保险信息出具保单，保单由经纪人审核无误后，送交各方；</w:t>
      </w:r>
    </w:p>
    <w:p w14:paraId="762D9EE2">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（五）本合同未定事宜，双方可根据具体情况结合有关规定另行签订补充协议，</w:t>
      </w:r>
      <w:r>
        <w:rPr>
          <w:rFonts w:hint="eastAsia" w:ascii="仿宋" w:hAnsi="仿宋" w:eastAsia="仿宋" w:cs="宋体"/>
          <w:sz w:val="24"/>
          <w:szCs w:val="32"/>
        </w:rPr>
        <mc:AlternateContent>
          <mc:Choice Requires="wps">
            <w:drawing>
              <wp:anchor distT="0" distB="0" distL="114300" distR="114300" simplePos="0" relativeHeight="251660288" behindDoc="0" locked="0" layoutInCell="0" allowOverlap="1">
                <wp:simplePos x="0" y="0"/>
                <wp:positionH relativeFrom="page">
                  <wp:posOffset>1043940</wp:posOffset>
                </wp:positionH>
                <wp:positionV relativeFrom="page">
                  <wp:posOffset>9912985</wp:posOffset>
                </wp:positionV>
                <wp:extent cx="5715000" cy="6350"/>
                <wp:effectExtent l="0" t="0" r="0" b="0"/>
                <wp:wrapNone/>
                <wp:docPr id="13" name="任意多边形 13"/>
                <wp:cNvGraphicFramePr/>
                <a:graphic xmlns:a="http://schemas.openxmlformats.org/drawingml/2006/main">
                  <a:graphicData uri="http://schemas.microsoft.com/office/word/2010/wordprocessingShape">
                    <wps:wsp>
                      <wps:cNvSpPr>
                        <a:spLocks noChangeArrowheads="1"/>
                      </wps:cNvSpPr>
                      <wps:spPr bwMode="auto">
                        <a:xfrm>
                          <a:off x="0" y="0"/>
                          <a:ext cx="5715000" cy="6350"/>
                        </a:xfrm>
                        <a:custGeom>
                          <a:avLst/>
                          <a:gdLst>
                            <a:gd name="T0" fmla="*/ 0 w 9000"/>
                            <a:gd name="T1" fmla="*/ 0 h 10"/>
                            <a:gd name="T2" fmla="*/ 9000 w 9000"/>
                            <a:gd name="T3" fmla="*/ 0 h 10"/>
                            <a:gd name="T4" fmla="*/ 9000 w 9000"/>
                            <a:gd name="T5" fmla="*/ 9 h 10"/>
                            <a:gd name="T6" fmla="*/ 0 w 9000"/>
                            <a:gd name="T7" fmla="*/ 9 h 10"/>
                            <a:gd name="T8" fmla="*/ 0 w 9000"/>
                            <a:gd name="T9" fmla="*/ 0 h 10"/>
                          </a:gdLst>
                          <a:ahLst/>
                          <a:cxnLst>
                            <a:cxn ang="0">
                              <a:pos x="T0" y="T1"/>
                            </a:cxn>
                            <a:cxn ang="0">
                              <a:pos x="T2" y="T3"/>
                            </a:cxn>
                            <a:cxn ang="0">
                              <a:pos x="T4" y="T5"/>
                            </a:cxn>
                            <a:cxn ang="0">
                              <a:pos x="T6" y="T7"/>
                            </a:cxn>
                            <a:cxn ang="0">
                              <a:pos x="T8" y="T9"/>
                            </a:cxn>
                          </a:cxnLst>
                          <a:rect l="0" t="0" r="r" b="b"/>
                          <a:pathLst>
                            <a:path w="9000" h="10">
                              <a:moveTo>
                                <a:pt x="0" y="0"/>
                              </a:moveTo>
                              <a:lnTo>
                                <a:pt x="9000" y="0"/>
                              </a:lnTo>
                              <a:lnTo>
                                <a:pt x="9000" y="9"/>
                              </a:lnTo>
                              <a:lnTo>
                                <a:pt x="0" y="9"/>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82.2pt;margin-top:780.55pt;height:0.5pt;width:450pt;mso-position-horizontal-relative:page;mso-position-vertical-relative:page;z-index:251660288;mso-width-relative:page;mso-height-relative:page;" fillcolor="#000000" filled="t" stroked="f" coordsize="9000,10" o:allowincell="f" o:gfxdata="UEsDBAoAAAAAAIdO4kAAAAAAAAAAAAAAAAAEAAAAZHJzL1BLAwQUAAAACACHTuJAT2PDGtYAAAAO&#10;AQAADwAAAGRycy9kb3ducmV2LnhtbE2PzU7DMBCE70i8g7VI3KidqkQoxOmhojk3JerZjZckEK+j&#10;2P19era9wG1ndjT7bb48u0EccQq9Jw3JTIFAarztqdVQf65f3kCEaMiawRNquGCAZfH4kJvM+hNV&#10;eNzGVnAJhcxo6GIcMylD06EzYeZHJN59+cmZyHJqpZ3MicvdIOdKpdKZnvhCZ0Zcddj8bA9Ow2pT&#10;x/hd1tXlutl9NGUpr+tKav38lKh3EBHP8S8MN3xGh4KZ9v5ANoiBdbpYcJSH1zRJQNwi6u7t7948&#10;AVnk8v8bxS9QSwMEFAAAAAgAh07iQN4ve2EbAwAAuwcAAA4AAABkcnMvZTJvRG9jLnhtbK1VwW4T&#10;MRC9I/EPlo9IdLNp0pAom6pqVYRUoFLDBzheb3aF1za2k005c+fOEfETqIKvoYjPYGzvpps0LTmQ&#10;w8beeftm5s14PD5elRwtmTaFFAmODzoYMUFlWoh5gt9Nz5+/wMhYIlLCpWAJvmYGH0+ePhlXasS6&#10;Mpc8ZRoBiTCjSiU4t1aNosjQnJXEHEjFBBgzqUtiYavnUapJBewlj7qdzlFUSZ0qLSkzBt6eBSOu&#10;GfU+hDLLCsrOJF2UTNjAqhknFlIyeaEMnvhos4xR+zbLDLOIJxgytf4JTmA9c89oMiajuSYqL2gd&#10;AtknhK2cSlIIcLqmOiOWoIUu7lGVBdXSyMweUFlGIRGvCGQRd7a0ucqJYj4XkNqotejm/9HSN8tL&#10;jYoUOuEQI0FKqPivm5vfnz7ffvvy5+f32x9fEVhApkqZEaCv1KV2iRp1Iel7g4Q8zYmYsxOtZZUz&#10;kkJwscNHGx+4jYFP0ax6LVNwQhZWesVWmS4dIWiBVr4w1+vCsJVFFF72B3G/04GaUbAdHfZ93SIy&#10;ar6lC2NfMul5yPLC2FDWFFa+KGmd2RQospJDhZ9FqIMqNHSsNbjBxBuYHMX3EN0WwjE8QASCtpzt&#10;Iuq1EI8Q9dswtIvoqIV4KJxBCzPcyQInvxXwbnWGG5gmFqjFvFGb5E0B6ErUFYAVgi5xhXUFUdK4&#10;WrtyQEGnoV/ICFDO+gAYVHdg34zg73EwKOvAfd+J/wKDeg482AsMIjnwsA0O4dS5ahg62+NG+3Ez&#10;C62miHUSeSFgiaoE+z5EORydIFApl2wqPcJunQrwdWfloo0KLBBdcz4ac/OvPNka1uTQmJv/AAvF&#10;2Qez7Y5yaZgbAVBpSHC98Ek7rVrH1UhepOcF5y5Zo+ezU67Rkrhx7X+1zBsw7ttESPdZcOPe+IHj&#10;ZkyYVTOZXsO80TLMfLjxYJFL/RGjCuZ9gs2HBdEMI/5KwMwaxr0eZGz9ptcfdGGj25ZZ20IEBaoE&#10;Wwxt7ZanNlwqC6WLeQ6eYt/oQp7AnMsKN5B8fCGqegMz3WtT3z/u0mjvPeruzp3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E9jwxrWAAAADgEAAA8AAAAAAAAAAQAgAAAAIgAAAGRycy9kb3ducmV2&#10;LnhtbFBLAQIUABQAAAAIAIdO4kDeL3thGwMAALsHAAAOAAAAAAAAAAEAIAAAACUBAABkcnMvZTJv&#10;RG9jLnhtbFBLBQYAAAAABgAGAFkBAACyBgAAAAA=&#10;" path="m0,0l9000,0,9000,9,0,9,0,0xe">
                <v:path o:connectlocs="0,0;5715000,0;5715000,5715;0,5715;0,0" o:connectangles="0,0,0,0,0"/>
                <v:fill on="t" focussize="0,0"/>
                <v:stroke on="f"/>
                <v:imagedata o:title=""/>
                <o:lock v:ext="edit" aspectratio="f"/>
              </v:shape>
            </w:pict>
          </mc:Fallback>
        </mc:AlternateContent>
      </w:r>
      <w:r>
        <w:rPr>
          <w:rFonts w:hint="eastAsia" w:ascii="仿宋" w:hAnsi="仿宋" w:eastAsia="仿宋" w:cs="宋体"/>
          <w:sz w:val="24"/>
          <w:szCs w:val="32"/>
        </w:rPr>
        <w:t>补充协议与本合同具有同等法律效力。</w:t>
      </w:r>
    </w:p>
    <w:p w14:paraId="57FA07BF">
      <w:pPr>
        <w:spacing w:line="360" w:lineRule="auto"/>
        <w:rPr>
          <w:rFonts w:hint="eastAsia" w:ascii="仿宋" w:hAnsi="仿宋" w:eastAsia="仿宋" w:cs="宋体"/>
          <w:b/>
          <w:bCs/>
          <w:sz w:val="24"/>
          <w:szCs w:val="32"/>
        </w:rPr>
      </w:pPr>
      <w:r>
        <w:rPr>
          <w:rFonts w:hint="eastAsia" w:ascii="仿宋" w:hAnsi="仿宋" w:eastAsia="仿宋" w:cs="宋体"/>
          <w:b/>
          <w:bCs/>
          <w:sz w:val="24"/>
          <w:szCs w:val="32"/>
          <w:lang w:val="en-US" w:eastAsia="zh-CN"/>
        </w:rPr>
        <w:t>十一</w:t>
      </w:r>
      <w:r>
        <w:rPr>
          <w:rFonts w:hint="eastAsia" w:ascii="仿宋" w:hAnsi="仿宋" w:eastAsia="仿宋" w:cs="宋体"/>
          <w:b/>
          <w:bCs/>
          <w:sz w:val="24"/>
          <w:szCs w:val="32"/>
        </w:rPr>
        <w:t>、合同生效</w:t>
      </w:r>
    </w:p>
    <w:p w14:paraId="2C97CDDC">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（一）本合同经双方签字盖章后生效。</w:t>
      </w:r>
    </w:p>
    <w:p w14:paraId="50C855CF">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（二）本合同须经甲、乙双方的法定代表人（授权代理人）在合同书上签字并加盖本单位公章后正式生效。</w:t>
      </w:r>
    </w:p>
    <w:p w14:paraId="2AD84579">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（三）合同生效后， 甲、乙双方须严格执行本合同条款的规定，全面履行合同，违者按《中华人民共和国民法典》的有关规定承担相应责任。</w:t>
      </w:r>
    </w:p>
    <w:p w14:paraId="40924A4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（四）本合同一式</w:t>
      </w:r>
      <w:r>
        <w:rPr>
          <w:rFonts w:hint="eastAsia" w:ascii="仿宋" w:hAnsi="仿宋" w:eastAsia="仿宋" w:cs="宋体"/>
          <w:sz w:val="24"/>
          <w:szCs w:val="32"/>
          <w:u w:val="single"/>
        </w:rPr>
        <w:t xml:space="preserve">    </w:t>
      </w:r>
      <w:r>
        <w:rPr>
          <w:rFonts w:hint="eastAsia" w:ascii="仿宋" w:hAnsi="仿宋" w:eastAsia="仿宋" w:cs="宋体"/>
          <w:sz w:val="24"/>
          <w:szCs w:val="32"/>
        </w:rPr>
        <w:t xml:space="preserve">份，甲乙双方各执 </w:t>
      </w:r>
      <w:r>
        <w:rPr>
          <w:rFonts w:hint="eastAsia" w:ascii="仿宋" w:hAnsi="仿宋" w:eastAsia="仿宋" w:cs="宋体"/>
          <w:sz w:val="24"/>
          <w:szCs w:val="32"/>
          <w:u w:val="single"/>
        </w:rPr>
        <w:t xml:space="preserve">    </w:t>
      </w:r>
      <w:r>
        <w:rPr>
          <w:rFonts w:hint="eastAsia" w:ascii="仿宋" w:hAnsi="仿宋" w:eastAsia="仿宋" w:cs="宋体"/>
          <w:sz w:val="24"/>
          <w:szCs w:val="32"/>
        </w:rPr>
        <w:t>份。</w:t>
      </w:r>
    </w:p>
    <w:p w14:paraId="717AF578">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（五）本合同如有未尽事宜，甲、乙双方协商解决。</w:t>
      </w:r>
    </w:p>
    <w:p w14:paraId="6D814E1D">
      <w:pPr>
        <w:spacing w:line="360" w:lineRule="auto"/>
        <w:ind w:firstLine="480" w:firstLineChars="200"/>
        <w:rPr>
          <w:rFonts w:hint="eastAsia" w:ascii="仿宋" w:hAnsi="仿宋" w:eastAsia="仿宋" w:cs="宋体"/>
          <w:sz w:val="24"/>
          <w:szCs w:val="32"/>
        </w:rPr>
      </w:pPr>
      <w:r>
        <w:rPr>
          <w:rFonts w:hint="eastAsia" w:ascii="仿宋" w:hAnsi="仿宋" w:eastAsia="仿宋" w:cs="宋体"/>
          <w:sz w:val="24"/>
          <w:szCs w:val="32"/>
        </w:rPr>
        <w:t>（以下无正文）</w:t>
      </w:r>
    </w:p>
    <w:p w14:paraId="06F68ADC">
      <w:pPr>
        <w:spacing w:before="65"/>
        <w:rPr>
          <w:sz w:val="24"/>
          <w:szCs w:val="28"/>
        </w:rPr>
      </w:pPr>
    </w:p>
    <w:tbl>
      <w:tblPr>
        <w:tblStyle w:val="11"/>
        <w:tblW w:w="8671"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16"/>
        <w:gridCol w:w="4155"/>
      </w:tblGrid>
      <w:tr w14:paraId="068942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4516" w:type="dxa"/>
            <w:shd w:val="clear" w:color="auto" w:fill="D8D8D8"/>
          </w:tcPr>
          <w:p w14:paraId="641FC9C7">
            <w:pPr>
              <w:pStyle w:val="10"/>
              <w:spacing w:before="40" w:line="222" w:lineRule="auto"/>
              <w:ind w:left="1118"/>
            </w:pPr>
            <w:r>
              <w:rPr>
                <w:spacing w:val="-24"/>
              </w:rPr>
              <w:t>甲</w:t>
            </w:r>
            <w:r>
              <w:rPr>
                <w:spacing w:val="12"/>
              </w:rPr>
              <w:t xml:space="preserve">  </w:t>
            </w:r>
            <w:r>
              <w:rPr>
                <w:spacing w:val="-24"/>
              </w:rPr>
              <w:t>方</w:t>
            </w:r>
          </w:p>
        </w:tc>
        <w:tc>
          <w:tcPr>
            <w:tcW w:w="4155" w:type="dxa"/>
            <w:shd w:val="clear" w:color="auto" w:fill="D8D8D8"/>
          </w:tcPr>
          <w:p w14:paraId="507A366C">
            <w:pPr>
              <w:pStyle w:val="10"/>
              <w:spacing w:before="40" w:line="224" w:lineRule="auto"/>
              <w:ind w:left="1260"/>
            </w:pPr>
            <w:r>
              <w:rPr>
                <w:spacing w:val="-17"/>
              </w:rPr>
              <w:t>乙</w:t>
            </w:r>
            <w:r>
              <w:rPr>
                <w:spacing w:val="12"/>
              </w:rPr>
              <w:t xml:space="preserve">  </w:t>
            </w:r>
            <w:r>
              <w:rPr>
                <w:spacing w:val="-17"/>
              </w:rPr>
              <w:t>方</w:t>
            </w:r>
          </w:p>
        </w:tc>
      </w:tr>
      <w:tr w14:paraId="11DCB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9" w:hRule="atLeast"/>
        </w:trPr>
        <w:tc>
          <w:tcPr>
            <w:tcW w:w="4516" w:type="dxa"/>
          </w:tcPr>
          <w:p w14:paraId="67813925">
            <w:pPr>
              <w:pStyle w:val="10"/>
              <w:spacing w:before="137" w:line="468" w:lineRule="exact"/>
              <w:ind w:left="126"/>
            </w:pPr>
            <w:r>
              <w:rPr>
                <w:spacing w:val="-6"/>
                <w:position w:val="17"/>
              </w:rPr>
              <w:t>采购人</w:t>
            </w:r>
          </w:p>
          <w:p w14:paraId="6AFC41C5">
            <w:pPr>
              <w:pStyle w:val="10"/>
              <w:spacing w:line="222" w:lineRule="auto"/>
              <w:ind w:left="129"/>
            </w:pPr>
            <w:r>
              <w:rPr>
                <w:spacing w:val="-6"/>
              </w:rPr>
              <w:t>（公章）</w:t>
            </w:r>
          </w:p>
        </w:tc>
        <w:tc>
          <w:tcPr>
            <w:tcW w:w="4155" w:type="dxa"/>
          </w:tcPr>
          <w:p w14:paraId="31FA667F">
            <w:pPr>
              <w:pStyle w:val="10"/>
              <w:spacing w:before="137" w:line="468" w:lineRule="exact"/>
              <w:ind w:left="123"/>
            </w:pPr>
            <w:r>
              <w:rPr>
                <w:spacing w:val="-4"/>
                <w:position w:val="17"/>
              </w:rPr>
              <w:t>供应商</w:t>
            </w:r>
          </w:p>
          <w:p w14:paraId="0500EF3D">
            <w:pPr>
              <w:pStyle w:val="10"/>
              <w:spacing w:line="222" w:lineRule="auto"/>
              <w:ind w:left="125"/>
            </w:pPr>
            <w:r>
              <w:rPr>
                <w:spacing w:val="-6"/>
              </w:rPr>
              <w:t>（公章）</w:t>
            </w:r>
          </w:p>
        </w:tc>
      </w:tr>
      <w:tr w14:paraId="14694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4516" w:type="dxa"/>
          </w:tcPr>
          <w:p w14:paraId="628FAFF9">
            <w:pPr>
              <w:pStyle w:val="10"/>
              <w:spacing w:before="38" w:line="232" w:lineRule="auto"/>
              <w:ind w:left="125"/>
            </w:pPr>
            <w:r>
              <w:rPr>
                <w:spacing w:val="-6"/>
              </w:rPr>
              <w:t>地址：</w:t>
            </w:r>
          </w:p>
        </w:tc>
        <w:tc>
          <w:tcPr>
            <w:tcW w:w="4155" w:type="dxa"/>
          </w:tcPr>
          <w:p w14:paraId="33AAC428">
            <w:pPr>
              <w:pStyle w:val="10"/>
              <w:spacing w:before="38" w:line="232" w:lineRule="auto"/>
              <w:ind w:left="121"/>
            </w:pPr>
            <w:r>
              <w:rPr>
                <w:spacing w:val="-6"/>
              </w:rPr>
              <w:t>地址：</w:t>
            </w:r>
          </w:p>
        </w:tc>
      </w:tr>
      <w:tr w14:paraId="35204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4516" w:type="dxa"/>
          </w:tcPr>
          <w:p w14:paraId="33FE78D5">
            <w:pPr>
              <w:pStyle w:val="10"/>
              <w:spacing w:before="37" w:line="222" w:lineRule="auto"/>
              <w:ind w:left="142"/>
            </w:pPr>
            <w:r>
              <w:rPr>
                <w:spacing w:val="-12"/>
              </w:rPr>
              <w:t>邮编：</w:t>
            </w:r>
          </w:p>
        </w:tc>
        <w:tc>
          <w:tcPr>
            <w:tcW w:w="4155" w:type="dxa"/>
          </w:tcPr>
          <w:p w14:paraId="152079F7">
            <w:pPr>
              <w:pStyle w:val="10"/>
              <w:spacing w:before="37" w:line="222" w:lineRule="auto"/>
              <w:ind w:left="138"/>
            </w:pPr>
            <w:r>
              <w:rPr>
                <w:spacing w:val="-12"/>
              </w:rPr>
              <w:t>邮编：</w:t>
            </w:r>
          </w:p>
        </w:tc>
      </w:tr>
      <w:tr w14:paraId="408FF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4516" w:type="dxa"/>
          </w:tcPr>
          <w:p w14:paraId="2343F1BC">
            <w:pPr>
              <w:pStyle w:val="10"/>
              <w:spacing w:before="38" w:line="223" w:lineRule="auto"/>
              <w:ind w:left="132"/>
            </w:pPr>
            <w:r>
              <w:rPr>
                <w:spacing w:val="-4"/>
              </w:rPr>
              <w:t>法定代表人：</w:t>
            </w:r>
          </w:p>
        </w:tc>
        <w:tc>
          <w:tcPr>
            <w:tcW w:w="4155" w:type="dxa"/>
          </w:tcPr>
          <w:p w14:paraId="199927D8">
            <w:pPr>
              <w:pStyle w:val="10"/>
              <w:spacing w:before="38" w:line="223" w:lineRule="auto"/>
              <w:ind w:left="127"/>
            </w:pPr>
            <w:r>
              <w:rPr>
                <w:spacing w:val="-4"/>
              </w:rPr>
              <w:t>法定代表人：</w:t>
            </w:r>
          </w:p>
        </w:tc>
      </w:tr>
      <w:tr w14:paraId="3ACEC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4516" w:type="dxa"/>
          </w:tcPr>
          <w:p w14:paraId="47310E62">
            <w:pPr>
              <w:pStyle w:val="10"/>
              <w:spacing w:before="38" w:line="224" w:lineRule="auto"/>
              <w:ind w:left="131"/>
            </w:pPr>
            <w:r>
              <w:rPr>
                <w:spacing w:val="2"/>
              </w:rPr>
              <w:t>负责人</w:t>
            </w:r>
            <w:r>
              <w:rPr>
                <w:spacing w:val="-18"/>
              </w:rPr>
              <w:t>：（</w:t>
            </w:r>
            <w:r>
              <w:rPr>
                <w:spacing w:val="2"/>
              </w:rPr>
              <w:t>签字）</w:t>
            </w:r>
          </w:p>
        </w:tc>
        <w:tc>
          <w:tcPr>
            <w:tcW w:w="4155" w:type="dxa"/>
          </w:tcPr>
          <w:p w14:paraId="66181428">
            <w:pPr>
              <w:pStyle w:val="10"/>
              <w:spacing w:before="38" w:line="224" w:lineRule="auto"/>
              <w:ind w:left="126"/>
            </w:pPr>
            <w:r>
              <w:rPr>
                <w:spacing w:val="2"/>
              </w:rPr>
              <w:t>负责人</w:t>
            </w:r>
            <w:r>
              <w:rPr>
                <w:spacing w:val="-18"/>
              </w:rPr>
              <w:t>：（</w:t>
            </w:r>
            <w:r>
              <w:rPr>
                <w:spacing w:val="2"/>
              </w:rPr>
              <w:t>签字）</w:t>
            </w:r>
          </w:p>
        </w:tc>
      </w:tr>
      <w:tr w14:paraId="5D4F5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4516" w:type="dxa"/>
          </w:tcPr>
          <w:p w14:paraId="75555A96">
            <w:pPr>
              <w:pStyle w:val="10"/>
              <w:spacing w:before="38" w:line="223" w:lineRule="auto"/>
              <w:ind w:left="150"/>
            </w:pPr>
            <w:r>
              <w:rPr>
                <w:spacing w:val="-15"/>
              </w:rPr>
              <w:t>电话：</w:t>
            </w:r>
          </w:p>
        </w:tc>
        <w:tc>
          <w:tcPr>
            <w:tcW w:w="4155" w:type="dxa"/>
          </w:tcPr>
          <w:p w14:paraId="5B657D4A">
            <w:pPr>
              <w:pStyle w:val="10"/>
              <w:spacing w:before="38" w:line="223" w:lineRule="auto"/>
              <w:ind w:left="146"/>
            </w:pPr>
            <w:r>
              <w:rPr>
                <w:spacing w:val="-15"/>
              </w:rPr>
              <w:t>电话：</w:t>
            </w:r>
          </w:p>
        </w:tc>
      </w:tr>
      <w:tr w14:paraId="49AF2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4516" w:type="dxa"/>
          </w:tcPr>
          <w:p w14:paraId="541F26A7">
            <w:pPr>
              <w:pStyle w:val="10"/>
              <w:spacing w:before="39" w:line="223" w:lineRule="auto"/>
              <w:ind w:left="127"/>
            </w:pPr>
            <w:r>
              <w:rPr>
                <w:spacing w:val="-7"/>
              </w:rPr>
              <w:t>传真：</w:t>
            </w:r>
          </w:p>
        </w:tc>
        <w:tc>
          <w:tcPr>
            <w:tcW w:w="4155" w:type="dxa"/>
          </w:tcPr>
          <w:p w14:paraId="06BC4848">
            <w:pPr>
              <w:pStyle w:val="10"/>
              <w:spacing w:before="39" w:line="223" w:lineRule="auto"/>
              <w:ind w:left="122"/>
            </w:pPr>
            <w:r>
              <w:rPr>
                <w:spacing w:val="-7"/>
              </w:rPr>
              <w:t>传真：</w:t>
            </w:r>
          </w:p>
        </w:tc>
      </w:tr>
      <w:tr w14:paraId="58111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4516" w:type="dxa"/>
          </w:tcPr>
          <w:p w14:paraId="35D45905">
            <w:pPr>
              <w:rPr>
                <w:rFonts w:ascii="Arial"/>
                <w:sz w:val="21"/>
              </w:rPr>
            </w:pPr>
          </w:p>
        </w:tc>
        <w:tc>
          <w:tcPr>
            <w:tcW w:w="4155" w:type="dxa"/>
          </w:tcPr>
          <w:p w14:paraId="1FB869D8">
            <w:pPr>
              <w:pStyle w:val="10"/>
              <w:spacing w:before="40" w:line="221" w:lineRule="auto"/>
              <w:ind w:left="120"/>
            </w:pPr>
            <w:r>
              <w:rPr>
                <w:spacing w:val="-4"/>
              </w:rPr>
              <w:t>开户银行：</w:t>
            </w:r>
          </w:p>
        </w:tc>
      </w:tr>
    </w:tbl>
    <w:p w14:paraId="1D32DFA0">
      <w:pPr>
        <w:pStyle w:val="8"/>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lang w:val="en-US" w:eastAsia="zh-Hans"/>
        </w:rPr>
      </w:pPr>
    </w:p>
    <w:p w14:paraId="44D5D9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F3D40"/>
    <w:rsid w:val="1E4D7575"/>
    <w:rsid w:val="2A644B73"/>
    <w:rsid w:val="462F3D40"/>
    <w:rsid w:val="7F6B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sz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List Paragraph"/>
    <w:basedOn w:val="1"/>
    <w:qFormat/>
    <w:uiPriority w:val="34"/>
    <w:pPr>
      <w:ind w:firstLine="420" w:firstLineChars="200"/>
    </w:pPr>
  </w:style>
  <w:style w:type="paragraph" w:customStyle="1" w:styleId="10">
    <w:name w:val="Table Text"/>
    <w:basedOn w:val="1"/>
    <w:semiHidden/>
    <w:qFormat/>
    <w:uiPriority w:val="0"/>
    <w:rPr>
      <w:rFonts w:ascii="仿宋" w:hAnsi="仿宋" w:eastAsia="仿宋" w:cs="仿宋"/>
      <w:szCs w:val="24"/>
      <w:lang w:eastAsia="en-US"/>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2426</Words>
  <Characters>2471</Characters>
  <Lines>0</Lines>
  <Paragraphs>0</Paragraphs>
  <TotalTime>4</TotalTime>
  <ScaleCrop>false</ScaleCrop>
  <LinksUpToDate>false</LinksUpToDate>
  <CharactersWithSpaces>2654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2026-03-24T09:24:00Z</dcterms:created>
  <dc:creator>Mr.</dc:creator>
  <cp:lastModifiedBy>Mr.</cp:lastModifiedBy>
  <dcterms:modified xsi:type="dcterms:W3CDTF">2026-04-29T03:15:58Z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7764A7C20B1A4F77BBF9D19986DA832C_11</vt:lpwstr>
  </property>
  <property fmtid="{D5CDD505-2E9C-101B-9397-08002B2CF9AE}" pid="4" name="KSOTemplateDocerSaveRecord">
    <vt:lpwstr>eyJoZGlkIjoiYzI1NTkxNzBiMzFmYTgzOGQzOGIxOWQ3YWEzNDFhZjkiLCJ1c2VySWQiOiIyMDY1MDg1MDIifQ==</vt:lpwstr>
  </property>
</Properties>
</file>