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版本号：QHY-2026-ZB-00920260429001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特勤中队办公楼修缮项目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QHY-2026-ZB-009</w:t>
      </w:r>
      <w:r>
        <w:br/>
      </w:r>
      <w:r>
        <w:br/>
      </w:r>
      <w:r>
        <w:br/>
      </w:r>
    </w:p>
    <w:p>
      <w:pPr>
        <w:pStyle w:val="null3"/>
        <w:jc w:val="center"/>
        <w:outlineLvl w:val="2"/>
      </w:pPr>
      <w:r>
        <w:rPr>
          <w:rFonts w:ascii="仿宋_GB2312" w:hAnsi="仿宋_GB2312" w:cs="仿宋_GB2312" w:eastAsia="仿宋_GB2312"/>
          <w:sz w:val="28"/>
          <w:b/>
        </w:rPr>
        <w:t>西安市未央区城市管理和综合执法局</w:t>
      </w:r>
    </w:p>
    <w:p>
      <w:pPr>
        <w:pStyle w:val="null3"/>
        <w:jc w:val="center"/>
        <w:outlineLvl w:val="2"/>
      </w:pPr>
      <w:r>
        <w:rPr>
          <w:rFonts w:ascii="仿宋_GB2312" w:hAnsi="仿宋_GB2312" w:cs="仿宋_GB2312" w:eastAsia="仿宋_GB2312"/>
          <w:sz w:val="28"/>
          <w:b/>
        </w:rPr>
        <w:t>陕西齐海宇工程项目管理有限公司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陕西齐海宇工程项目管理有限公司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西安市未央区城市管理和综合执法局</w:t>
      </w:r>
      <w:r>
        <w:rPr>
          <w:rFonts w:ascii="仿宋_GB2312" w:hAnsi="仿宋_GB2312" w:cs="仿宋_GB2312" w:eastAsia="仿宋_GB2312"/>
        </w:rPr>
        <w:t>委托，拟对</w:t>
      </w:r>
      <w:r>
        <w:rPr>
          <w:rFonts w:ascii="仿宋_GB2312" w:hAnsi="仿宋_GB2312" w:cs="仿宋_GB2312" w:eastAsia="仿宋_GB2312"/>
        </w:rPr>
        <w:t>特勤中队办公楼修缮项目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QHY-2026-ZB-009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特勤中队办公楼修缮项目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特勤中队办公楼修缮项目，特勤中队位于未央区明光路与北三环北辅道十字向西100米，地上二层，总建筑面积：约1676.45㎡，施工内容包括主体修缮、电路改造及供排水管网改造等，具体详见工程量清单及图纸。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采购包1（特勤中队办公楼修缮）：属于专门面向中小企业采购。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1、法定代表人授权书或法定代表人身份证明：法定代表人直接参加磋商的，须出具法定代表人身份证明。法定代表人委托代理人参加磋商的，须出具法定代表人授权书（附法定代表人、代理人身份证复印件）；</w:t>
      </w:r>
    </w:p>
    <w:p>
      <w:pPr>
        <w:pStyle w:val="null3"/>
      </w:pPr>
      <w:r>
        <w:rPr>
          <w:rFonts w:ascii="仿宋_GB2312" w:hAnsi="仿宋_GB2312" w:cs="仿宋_GB2312" w:eastAsia="仿宋_GB2312"/>
        </w:rPr>
        <w:t>2、企业资质：供应商须具有建设行政主管部门颁发的建筑工程施工总承包三级（含）及以上资质或建筑装修装饰工程专业承包二级（含）及以上资质，具有有效的安全生产许可证；</w:t>
      </w:r>
    </w:p>
    <w:p>
      <w:pPr>
        <w:pStyle w:val="null3"/>
      </w:pPr>
      <w:r>
        <w:rPr>
          <w:rFonts w:ascii="仿宋_GB2312" w:hAnsi="仿宋_GB2312" w:cs="仿宋_GB2312" w:eastAsia="仿宋_GB2312"/>
        </w:rPr>
        <w:t>3、项目经理资质：供应商拟派项目经理须具备建筑工程专业二级及以上注册建造师证，具备有效的安全生产考核合格证书（B证），在本单位注册，且未担任其他在建工程项目的项目经理（提供承诺书）；</w:t>
      </w:r>
    </w:p>
    <w:p>
      <w:pPr>
        <w:pStyle w:val="null3"/>
      </w:pPr>
      <w:r>
        <w:rPr>
          <w:rFonts w:ascii="仿宋_GB2312" w:hAnsi="仿宋_GB2312" w:cs="仿宋_GB2312" w:eastAsia="仿宋_GB2312"/>
        </w:rPr>
        <w:t>4、信用记录：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西安市未央区城市管理和综合执法局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陕西省西安市未央区连心路51号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15091630999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陕西齐海宇工程项目管理有限公司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西安市未央区朱宏路8号保亿公元印12幢808室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王昭、史萌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029-89151632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采购包1：837,603.14元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成交单位在领取成交通知书前，须向采购代理机构一次性支付招标代理服务费。 招标代理服务费账户： 户名：陕西齐海宇工程项目管理有限公司 开户行：中国建设银行股份有限公司西安文景小区支行 账号：61050110057800000789 请成交供应商按照要求将招标代理服务费转入以上指定账户，如因自身原因发生错误，产生的不利后果均由供应商自行承担。</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西安市未央区城市管理和综合执法局</w:t>
      </w:r>
      <w:r>
        <w:rPr>
          <w:rFonts w:ascii="仿宋_GB2312" w:hAnsi="仿宋_GB2312" w:cs="仿宋_GB2312" w:eastAsia="仿宋_GB2312"/>
        </w:rPr>
        <w:t>和</w:t>
      </w:r>
      <w:r>
        <w:rPr>
          <w:rFonts w:ascii="仿宋_GB2312" w:hAnsi="仿宋_GB2312" w:cs="仿宋_GB2312" w:eastAsia="仿宋_GB2312"/>
        </w:rPr>
        <w:t>陕西齐海宇工程项目管理有限公司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西安市未央区城市管理和综合执法局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陕西齐海宇工程项目管理有限公司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西安市未央区城市管理和综合执法局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陕西齐海宇工程项目管理有限公司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陕西齐海宇工程项目管理有限公司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联系人：王昭、史萌</w:t>
      </w:r>
    </w:p>
    <w:p>
      <w:pPr>
        <w:pStyle w:val="null3"/>
      </w:pPr>
      <w:r>
        <w:rPr>
          <w:rFonts w:ascii="仿宋_GB2312" w:hAnsi="仿宋_GB2312" w:cs="仿宋_GB2312" w:eastAsia="仿宋_GB2312"/>
        </w:rPr>
        <w:t>联系电话：029-89151632</w:t>
      </w:r>
    </w:p>
    <w:p>
      <w:pPr>
        <w:pStyle w:val="null3"/>
      </w:pPr>
      <w:r>
        <w:rPr>
          <w:rFonts w:ascii="仿宋_GB2312" w:hAnsi="仿宋_GB2312" w:cs="仿宋_GB2312" w:eastAsia="仿宋_GB2312"/>
        </w:rPr>
        <w:t>地址：西安市未央区朱宏路8号保亿公元印12幢808室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837,603.14</w:t>
      </w:r>
    </w:p>
    <w:p>
      <w:pPr>
        <w:pStyle w:val="null3"/>
      </w:pPr>
      <w:r>
        <w:rPr>
          <w:rFonts w:ascii="仿宋_GB2312" w:hAnsi="仿宋_GB2312" w:cs="仿宋_GB2312" w:eastAsia="仿宋_GB2312"/>
        </w:rPr>
        <w:t>采购包最高限价（元）: 837,603.14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特勤中队办公楼修缮项目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837,603.14</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标的名称：特勤中队办公楼修缮项目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一、工程概况</w:t>
            </w:r>
          </w:p>
          <w:p>
            <w:pPr>
              <w:pStyle w:val="null3"/>
              <w:ind w:firstLine="480"/>
            </w:pPr>
            <w:r>
              <w:rPr>
                <w:rFonts w:ascii="仿宋_GB2312" w:hAnsi="仿宋_GB2312" w:cs="仿宋_GB2312" w:eastAsia="仿宋_GB2312"/>
                <w:sz w:val="24"/>
              </w:rPr>
              <w:t>1、项目名称：特勤中队办公楼修缮项目；</w:t>
            </w:r>
          </w:p>
          <w:p>
            <w:pPr>
              <w:pStyle w:val="null3"/>
              <w:ind w:firstLine="480"/>
            </w:pPr>
            <w:r>
              <w:rPr>
                <w:rFonts w:ascii="仿宋_GB2312" w:hAnsi="仿宋_GB2312" w:cs="仿宋_GB2312" w:eastAsia="仿宋_GB2312"/>
                <w:sz w:val="24"/>
              </w:rPr>
              <w:t>2、工程内容：具体详见工程量清单及图纸。</w:t>
            </w:r>
          </w:p>
          <w:p>
            <w:pPr>
              <w:pStyle w:val="null3"/>
              <w:ind w:firstLine="482"/>
            </w:pPr>
            <w:r>
              <w:rPr>
                <w:rFonts w:ascii="仿宋_GB2312" w:hAnsi="仿宋_GB2312" w:cs="仿宋_GB2312" w:eastAsia="仿宋_GB2312"/>
                <w:sz w:val="24"/>
                <w:b/>
              </w:rPr>
              <w:t>二、商务条款</w:t>
            </w:r>
          </w:p>
          <w:p>
            <w:pPr>
              <w:pStyle w:val="null3"/>
              <w:ind w:firstLine="480"/>
            </w:pPr>
            <w:r>
              <w:rPr>
                <w:rFonts w:ascii="仿宋_GB2312" w:hAnsi="仿宋_GB2312" w:cs="仿宋_GB2312" w:eastAsia="仿宋_GB2312"/>
                <w:sz w:val="24"/>
              </w:rPr>
              <w:t>1、施工地点：采购人指定地点</w:t>
            </w:r>
          </w:p>
          <w:p>
            <w:pPr>
              <w:pStyle w:val="null3"/>
              <w:ind w:firstLine="480"/>
            </w:pPr>
            <w:r>
              <w:rPr>
                <w:rFonts w:ascii="仿宋_GB2312" w:hAnsi="仿宋_GB2312" w:cs="仿宋_GB2312" w:eastAsia="仿宋_GB2312"/>
                <w:sz w:val="24"/>
              </w:rPr>
              <w:t>2、工期：30日历天</w:t>
            </w:r>
          </w:p>
          <w:p>
            <w:pPr>
              <w:pStyle w:val="null3"/>
              <w:ind w:firstLine="480"/>
            </w:pPr>
            <w:r>
              <w:rPr>
                <w:rFonts w:ascii="仿宋_GB2312" w:hAnsi="仿宋_GB2312" w:cs="仿宋_GB2312" w:eastAsia="仿宋_GB2312"/>
                <w:sz w:val="24"/>
              </w:rPr>
              <w:t>3、质量标准：符合国家现行有关施工质量验收规范“合格”要求</w:t>
            </w:r>
          </w:p>
          <w:p>
            <w:pPr>
              <w:pStyle w:val="null3"/>
              <w:ind w:firstLine="480"/>
            </w:pPr>
            <w:r>
              <w:rPr>
                <w:rFonts w:ascii="仿宋_GB2312" w:hAnsi="仿宋_GB2312" w:cs="仿宋_GB2312" w:eastAsia="仿宋_GB2312"/>
                <w:sz w:val="24"/>
              </w:rPr>
              <w:t>4、付款方式</w:t>
            </w:r>
          </w:p>
          <w:p>
            <w:pPr>
              <w:pStyle w:val="null3"/>
              <w:jc w:val="both"/>
            </w:pPr>
            <w:r>
              <w:rPr>
                <w:rFonts w:ascii="仿宋_GB2312" w:hAnsi="仿宋_GB2312" w:cs="仿宋_GB2312" w:eastAsia="仿宋_GB2312"/>
                <w:sz w:val="24"/>
              </w:rPr>
              <w:t>合同签订后，达到付款条件</w:t>
            </w:r>
            <w:r>
              <w:rPr>
                <w:rFonts w:ascii="仿宋_GB2312" w:hAnsi="仿宋_GB2312" w:cs="仿宋_GB2312" w:eastAsia="仿宋_GB2312"/>
                <w:sz w:val="24"/>
              </w:rPr>
              <w:t>10日，支付合同总价款的40%；完工验收合格后，达到付款条件10日，支付至合同总价款的70%；提交财政部门结算评审后，达到付款条件10日，按照评审金额支付剩余工程款。</w:t>
            </w:r>
          </w:p>
          <w:p>
            <w:pPr>
              <w:pStyle w:val="null3"/>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最终磋商报价后，各供应商提供的已标价工程量清单中各项报价执行同比例下浮原则。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供应商需在项目电子化交易系统中按要求填写《投标函》完成承诺，同时提供以下资料并进行电子签章： 1.有效的主体资格证明：具有独立承担民事责任能力的法人、其他组织或自然人并出具合法有效的营业执照或事业单位法人证书等国家规定的相关证明，自然人参与的提供其身份证明。 2.基本资格条件：提供《基本资格条件承诺函》，供应商应对承诺内容的真实性、合法性、有效性负责。若虚假承诺的，视同为“提供虚假材料谋取中标、成交”的违法行为，根据《中华人民共和国政府采购法》等法律法规追究相应责任。 备注：不提供《基本资格条件承诺函》的供应商需提交如下证明材料： a.财务状况证明：提供2024年度或2025年度经审计的财务报告（成立时间至提交磋商响应文件截止时间不足一年的可提供成立后任意时段的资产负债表），或其基本存款账户开户银行出具的资信证明及基本存款账户开户许可证（基本账户信息表）。 b.社会保障资金缴纳证明：提供磋商响应文件递交截止时间前一年内已缴存的至少一个月的社会保障资金缴存单据或社保机构开具的社会保险参保缴费情况证明，依法不需要缴纳社会保障资金的单位应提供相关证明材料。 c.税收缴纳证明：提供磋商响应文件递交截止时间前一年内已缴纳的至少一个月的纳税证明或完税证明，依法免税的单位应提供相关证明材料。 d.参加政府采购活动前三年内，在经营活动中没有重大违法记录的书面声明。 e.提供具有履行合同所必需的设备和专业技术能力的承诺。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财务状况证明或《基本资格条件承诺函》。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供应商须具有建设行政主管部门颁发的建筑工程施工总承包三级（含）及以上资质或建筑装修装饰工程专业承包二级（含）及以上资质，具有有效的安全生产许可证；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供应商拟派项目经理须具备建筑工程专业二级及以上注册建造师证，具备有效的安全生产考核合格证书（B证），在本单位注册，且未担任其他在建工程项目的项目经理（提供承诺书）；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案件当事人名单的供应商，不得为中国政府采购网（www.ccgp.gov.cn）政府采购严重违法失信行为记录名单中被财政部门禁止参加政府采购活动的供应商；（此项以采购代理机构现场查询为准，查询时限为响应文件递交截止之日）。</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满足竞争性磋商文件的报价要求</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需签字处按磋商文件要求签字，需盖章处按磋商文件要求盖章。</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技术服务合同条款及其他商务要求应答表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磋商文件中规定的无效情形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施工总体方案</w:t>
            </w:r>
          </w:p>
        </w:tc>
        <w:tc>
          <w:tcPr>
            <w:tcW w:type="dxa" w:w="2492"/>
          </w:tcPr>
          <w:p>
            <w:pPr>
              <w:pStyle w:val="null3"/>
            </w:pPr>
            <w:r>
              <w:rPr>
                <w:rFonts w:ascii="仿宋_GB2312" w:hAnsi="仿宋_GB2312" w:cs="仿宋_GB2312" w:eastAsia="仿宋_GB2312"/>
              </w:rPr>
              <w:t>施工总体方案内容至少包括①施工准备；②施工进度安排；③施工方法；④重点难点工程分析及解决措施；⑤影响正常施工外在因素分析及对应预案等。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工程质量的技术组织措施</w:t>
            </w:r>
          </w:p>
        </w:tc>
        <w:tc>
          <w:tcPr>
            <w:tcW w:type="dxa" w:w="2492"/>
          </w:tcPr>
          <w:p>
            <w:pPr>
              <w:pStyle w:val="null3"/>
            </w:pPr>
            <w:r>
              <w:rPr>
                <w:rFonts w:ascii="仿宋_GB2312" w:hAnsi="仿宋_GB2312" w:cs="仿宋_GB2312" w:eastAsia="仿宋_GB2312"/>
              </w:rPr>
              <w:t>工程质量的技术组织措施内容至少包括①质量管理工作流程；②工程质量保障方案；③工程质量控制体系；④材料和构配件的质量控制等；⑤施工检测及工序交验方案等。 评审依据：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安全生产技术组织措施内容至少包括①安全生产管理制度；②安全投入保障制度；③安全隐患排查、整改制度；④应急救援机制等。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文明施工及环境保护组织措施内容至少包括①文明及环境保护管理制度；②防尘降噪措施；③节能减排措施；④文明及环境保护施工监督检查机制等。评审依据：每一项内容描述详细，切实可行符合项目实际内容得2分，合计得8分。内容①～④项任意一项缺项扣2分，扣完为止；内容①～④项每出现一项内容缺陷（缺陷是指：内容不详细具体、条理不清晰、描述过于简单 、与项目特点不匹配、凭空编造、出现常识性错误、不可能实现的夸大情形、存在不适用项目实际情况的情形等）扣0.5分；未提供不得分。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施工部署与进度计划</w:t>
            </w:r>
          </w:p>
        </w:tc>
        <w:tc>
          <w:tcPr>
            <w:tcW w:type="dxa" w:w="2492"/>
          </w:tcPr>
          <w:p>
            <w:pPr>
              <w:pStyle w:val="null3"/>
            </w:pPr>
            <w:r>
              <w:rPr>
                <w:rFonts w:ascii="仿宋_GB2312" w:hAnsi="仿宋_GB2312" w:cs="仿宋_GB2312" w:eastAsia="仿宋_GB2312"/>
              </w:rPr>
              <w:t>施工部署与进度计划内容至少包括①施工总平面布置；②进度安排计划；③工期目标控制和保证措施；④材料供应措施。 评审依据：每一项内容描述详细，切实可行符合项目实际内容得2分，合计得8分。内容①～④项任意一项缺项扣2分，扣完为止；内容①～④项每出现一项内容缺陷（缺陷是指：内容不详细具体、条理不清晰、描述过于简单、与项目特点不匹配、凭空编造、出现常识性错误、不可能实现的夸大情形、存在不适用项目实际情况的情形等）扣0.5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施工组织和项目管理机构</w:t>
            </w:r>
          </w:p>
        </w:tc>
        <w:tc>
          <w:tcPr>
            <w:tcW w:type="dxa" w:w="2492"/>
          </w:tcPr>
          <w:p>
            <w:pPr>
              <w:pStyle w:val="null3"/>
            </w:pPr>
            <w:r>
              <w:rPr>
                <w:rFonts w:ascii="仿宋_GB2312" w:hAnsi="仿宋_GB2312" w:cs="仿宋_GB2312" w:eastAsia="仿宋_GB2312"/>
              </w:rPr>
              <w:t>施工组织和项目管理机构内容至少包括①项目管理机构图；②岗位安排及职责（配备施工员、安全员、资料员、材料员、质量员）；③管理制度；④相应的协调措施等。 评审依据：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施工机械配置和材料投入计划内容至少包括①施工机械配置计划；②施工材料投入计划；③施工机械的维护保养和材料的贮存；④施工机械、材料的监督和检查等。 评审依据：每一项内容描述详细，切实可行符合项目实际内容得1分，合计得4分。内容①～④项任意一项缺项扣1分，扣完为止；内容①～④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提供供应商自2023年1月1日至今实施过的类似工程项目业绩，提供合同的复印件并加盖单位公章，以合同的签订日期为准。每提供1份得1分，最多得3分，未提供或提供的合同内容模糊无法辨认得0分。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1、经初审合格的磋商响应文件，其磋商报价为有效磋商报价。2、满足磋商文件实质性要求且最终报价最低的供应商的价格为磋商基准价，其价格分为满分45分。 3、磋商报价得分=（磋商基准价/最终磋商报价）×45。 4、磋商报价不完整的，不进入磋商基准价的计算，本项得0分。</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