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4D08B">
      <w:pPr>
        <w:widowControl w:val="0"/>
        <w:bidi w:val="0"/>
        <w:snapToGrid w:val="0"/>
        <w:spacing w:beforeAutospacing="0" w:afterAutospacing="0" w:line="360" w:lineRule="auto"/>
        <w:jc w:val="center"/>
        <w:outlineLvl w:val="0"/>
        <w:rPr>
          <w:rFonts w:hint="eastAsia" w:ascii="宋体" w:hAnsi="宋体" w:eastAsia="宋体" w:cs="宋体"/>
          <w:b/>
          <w:bCs/>
          <w:kern w:val="44"/>
          <w:sz w:val="32"/>
          <w:szCs w:val="48"/>
          <w:lang w:val="en-US" w:eastAsia="zh-CN" w:bidi="ar-SA"/>
        </w:rPr>
      </w:pPr>
      <w:bookmarkStart w:id="7" w:name="_GoBack"/>
      <w:bookmarkEnd w:id="7"/>
    </w:p>
    <w:p w14:paraId="580575ED">
      <w:pPr>
        <w:bidi w:val="0"/>
        <w:rPr>
          <w:rFonts w:hint="eastAsia" w:ascii="Calibri" w:hAnsi="Calibri" w:eastAsia="宋体" w:cs="Times New Roman"/>
          <w:b w:val="0"/>
          <w:bCs w:val="0"/>
          <w:sz w:val="21"/>
          <w:szCs w:val="24"/>
          <w:lang w:val="en-US" w:eastAsia="zh-CN"/>
        </w:rPr>
      </w:pPr>
    </w:p>
    <w:p w14:paraId="594089DB">
      <w:pPr>
        <w:bidi w:val="0"/>
        <w:jc w:val="center"/>
        <w:rPr>
          <w:rFonts w:hint="eastAsia" w:ascii="宋体" w:hAnsi="宋体" w:eastAsia="宋体" w:cs="宋体"/>
          <w:b/>
          <w:bCs w:val="0"/>
          <w:color w:val="auto"/>
          <w:kern w:val="0"/>
          <w:sz w:val="44"/>
          <w:szCs w:val="44"/>
          <w:highlight w:val="none"/>
          <w:lang w:val="en-US" w:eastAsia="zh-CN"/>
        </w:rPr>
      </w:pPr>
      <w:r>
        <w:rPr>
          <w:rFonts w:hint="eastAsia" w:ascii="宋体" w:hAnsi="宋体" w:eastAsia="宋体" w:cs="宋体"/>
          <w:b/>
          <w:bCs w:val="0"/>
          <w:color w:val="auto"/>
          <w:kern w:val="0"/>
          <w:sz w:val="44"/>
          <w:szCs w:val="44"/>
          <w:highlight w:val="none"/>
          <w:lang w:val="en-US" w:eastAsia="zh-CN"/>
        </w:rPr>
        <w:t>特勤中队办公楼修缮项目</w:t>
      </w:r>
    </w:p>
    <w:p w14:paraId="0EAEDD1E">
      <w:pPr>
        <w:widowControl w:val="0"/>
        <w:ind w:firstLine="420" w:firstLineChars="200"/>
        <w:jc w:val="both"/>
        <w:rPr>
          <w:rFonts w:hint="eastAsia" w:ascii="Calibri" w:hAnsi="Calibri" w:eastAsia="宋体" w:cs="Times New Roman"/>
          <w:b w:val="0"/>
          <w:bCs w:val="0"/>
          <w:kern w:val="2"/>
          <w:sz w:val="21"/>
          <w:szCs w:val="24"/>
          <w:lang w:val="en-US" w:eastAsia="zh-CN" w:bidi="ar-SA"/>
        </w:rPr>
      </w:pPr>
    </w:p>
    <w:p w14:paraId="337088FB">
      <w:pPr>
        <w:widowControl w:val="0"/>
        <w:shd w:val="clear"/>
        <w:spacing w:line="480" w:lineRule="auto"/>
        <w:jc w:val="center"/>
        <w:rPr>
          <w:rFonts w:hint="eastAsia" w:ascii="宋体" w:hAnsi="宋体" w:eastAsia="宋体" w:cs="宋体"/>
          <w:b/>
          <w:bCs w:val="0"/>
          <w:color w:val="auto"/>
          <w:kern w:val="0"/>
          <w:sz w:val="44"/>
          <w:szCs w:val="44"/>
          <w:highlight w:val="none"/>
          <w:lang w:val="en-US" w:eastAsia="zh-CN" w:bidi="ar-SA"/>
        </w:rPr>
      </w:pPr>
      <w:r>
        <w:rPr>
          <w:rFonts w:hint="eastAsia" w:ascii="宋体" w:hAnsi="宋体" w:eastAsia="宋体" w:cs="宋体"/>
          <w:b/>
          <w:bCs w:val="0"/>
          <w:color w:val="auto"/>
          <w:kern w:val="0"/>
          <w:sz w:val="44"/>
          <w:szCs w:val="44"/>
          <w:highlight w:val="none"/>
          <w:lang w:val="en-US" w:eastAsia="zh-CN" w:bidi="ar-SA"/>
        </w:rPr>
        <w:t>（示范文本）</w:t>
      </w:r>
    </w:p>
    <w:p w14:paraId="35779BB4">
      <w:pPr>
        <w:widowControl w:val="0"/>
        <w:shd w:val="clear"/>
        <w:ind w:left="0" w:leftChars="0" w:firstLine="0" w:firstLineChars="0"/>
        <w:jc w:val="both"/>
        <w:rPr>
          <w:rFonts w:hint="eastAsia" w:ascii="宋体" w:hAnsi="宋体" w:eastAsia="宋体" w:cs="宋体"/>
          <w:b w:val="0"/>
          <w:bCs w:val="0"/>
          <w:color w:val="auto"/>
          <w:sz w:val="28"/>
          <w:szCs w:val="28"/>
          <w:highlight w:val="none"/>
          <w:lang w:val="en-US" w:eastAsia="zh-CN" w:bidi="ar-SA"/>
        </w:rPr>
      </w:pPr>
    </w:p>
    <w:p w14:paraId="76565FD6">
      <w:pPr>
        <w:widowControl w:val="0"/>
        <w:shd w:val="clear"/>
        <w:spacing w:after="120" w:afterLines="0" w:afterAutospacing="0"/>
        <w:ind w:firstLine="210" w:firstLineChars="100"/>
        <w:jc w:val="both"/>
        <w:rPr>
          <w:rFonts w:hint="eastAsia" w:ascii="宋体" w:hAnsi="宋体" w:eastAsia="宋体" w:cs="宋体"/>
          <w:b w:val="0"/>
          <w:bCs w:val="0"/>
          <w:color w:val="auto"/>
          <w:kern w:val="2"/>
          <w:sz w:val="21"/>
          <w:szCs w:val="24"/>
          <w:highlight w:val="none"/>
          <w:lang w:val="en-US" w:eastAsia="zh-CN" w:bidi="ar-SA"/>
        </w:rPr>
      </w:pPr>
    </w:p>
    <w:p w14:paraId="679C1531">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ABC40CF">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28BD98D4">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6A18779">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4E0A0288">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5971BD72">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采购人(甲方)：</w:t>
      </w:r>
    </w:p>
    <w:p w14:paraId="0642F144">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供应商(乙方)：</w:t>
      </w:r>
    </w:p>
    <w:p w14:paraId="2805AC55">
      <w:pPr>
        <w:widowControl w:val="0"/>
        <w:shd w:val="clear"/>
        <w:spacing w:after="120" w:afterLines="0" w:afterAutospacing="0"/>
        <w:ind w:left="0" w:leftChars="0" w:firstLine="0" w:firstLineChars="0"/>
        <w:jc w:val="both"/>
        <w:rPr>
          <w:rFonts w:hint="eastAsia" w:ascii="宋体" w:hAnsi="宋体" w:eastAsia="宋体" w:cs="宋体"/>
          <w:b w:val="0"/>
          <w:bCs w:val="0"/>
          <w:color w:val="auto"/>
          <w:kern w:val="2"/>
          <w:sz w:val="21"/>
          <w:szCs w:val="24"/>
          <w:highlight w:val="none"/>
          <w:lang w:val="en-US" w:eastAsia="zh-CN" w:bidi="ar-SA"/>
        </w:rPr>
      </w:pPr>
    </w:p>
    <w:p w14:paraId="0ADD2478">
      <w:pPr>
        <w:widowControl w:val="0"/>
        <w:shd w:val="clear"/>
        <w:spacing w:after="120" w:afterLines="0" w:afterAutospacing="0"/>
        <w:ind w:left="220" w:leftChars="0" w:hanging="220" w:hangingChars="105"/>
        <w:jc w:val="both"/>
        <w:rPr>
          <w:rFonts w:hint="eastAsia" w:ascii="宋体" w:hAnsi="宋体" w:eastAsia="宋体" w:cs="宋体"/>
          <w:b w:val="0"/>
          <w:bCs w:val="0"/>
          <w:color w:val="auto"/>
          <w:kern w:val="2"/>
          <w:sz w:val="21"/>
          <w:szCs w:val="24"/>
          <w:highlight w:val="none"/>
          <w:lang w:val="en-US" w:eastAsia="zh-CN" w:bidi="ar-SA"/>
        </w:rPr>
      </w:pPr>
    </w:p>
    <w:p w14:paraId="315BFE3B">
      <w:pPr>
        <w:shd w:val="clear"/>
        <w:bidi w:val="0"/>
        <w:rPr>
          <w:rFonts w:hint="eastAsia" w:ascii="宋体" w:hAnsi="宋体" w:eastAsia="宋体" w:cs="宋体"/>
          <w:b w:val="0"/>
          <w:bCs w:val="0"/>
          <w:color w:val="auto"/>
          <w:sz w:val="24"/>
          <w:szCs w:val="24"/>
          <w:highlight w:val="none"/>
        </w:rPr>
      </w:pPr>
    </w:p>
    <w:p w14:paraId="7349B52D">
      <w:pPr>
        <w:shd w:val="clear"/>
        <w:bidi w:val="0"/>
        <w:ind w:firstLine="480" w:firstLineChars="200"/>
        <w:rPr>
          <w:rFonts w:hint="eastAsia" w:ascii="宋体" w:hAnsi="宋体" w:eastAsia="宋体" w:cs="宋体"/>
          <w:b w:val="0"/>
          <w:bCs w:val="0"/>
          <w:color w:val="auto"/>
          <w:sz w:val="24"/>
          <w:szCs w:val="24"/>
          <w:highlight w:val="none"/>
        </w:rPr>
      </w:pPr>
    </w:p>
    <w:p w14:paraId="55E72822">
      <w:pPr>
        <w:shd w:val="clear"/>
        <w:bidi w:val="0"/>
        <w:ind w:firstLine="480" w:firstLineChars="200"/>
        <w:rPr>
          <w:rFonts w:hint="eastAsia" w:ascii="宋体" w:hAnsi="宋体" w:eastAsia="宋体" w:cs="宋体"/>
          <w:b w:val="0"/>
          <w:bCs w:val="0"/>
          <w:color w:val="auto"/>
          <w:sz w:val="24"/>
          <w:szCs w:val="24"/>
          <w:highlight w:val="none"/>
        </w:rPr>
      </w:pPr>
    </w:p>
    <w:p w14:paraId="294EF827">
      <w:pPr>
        <w:shd w:val="clear"/>
        <w:bidi w:val="0"/>
        <w:ind w:firstLine="480" w:firstLineChars="200"/>
        <w:rPr>
          <w:rFonts w:hint="eastAsia" w:ascii="宋体" w:hAnsi="宋体" w:eastAsia="宋体" w:cs="宋体"/>
          <w:b w:val="0"/>
          <w:bCs w:val="0"/>
          <w:color w:val="auto"/>
          <w:sz w:val="24"/>
          <w:szCs w:val="24"/>
          <w:highlight w:val="none"/>
        </w:rPr>
      </w:pPr>
    </w:p>
    <w:p w14:paraId="1631FDBE">
      <w:pPr>
        <w:shd w:val="clear"/>
        <w:spacing w:line="480" w:lineRule="auto"/>
        <w:ind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签订地点：</w:t>
      </w:r>
      <w:r>
        <w:rPr>
          <w:rFonts w:hint="eastAsia" w:ascii="宋体" w:hAnsi="宋体" w:eastAsia="宋体" w:cs="宋体"/>
          <w:b w:val="0"/>
          <w:bCs w:val="0"/>
          <w:color w:val="auto"/>
          <w:sz w:val="24"/>
          <w:szCs w:val="24"/>
          <w:highlight w:val="none"/>
          <w:u w:val="single"/>
        </w:rPr>
        <w:t xml:space="preserve">                                             </w:t>
      </w:r>
    </w:p>
    <w:p w14:paraId="4DBBE551">
      <w:pPr>
        <w:numPr>
          <w:ilvl w:val="0"/>
          <w:numId w:val="0"/>
        </w:numPr>
        <w:shd w:val="clear"/>
        <w:spacing w:line="480" w:lineRule="auto"/>
        <w:ind w:firstLine="1200" w:firstLineChars="5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签订时间：</w:t>
      </w:r>
      <w:r>
        <w:rPr>
          <w:rFonts w:hint="eastAsia" w:ascii="宋体" w:hAnsi="宋体" w:eastAsia="宋体" w:cs="宋体"/>
          <w:b w:val="0"/>
          <w:bCs w:val="0"/>
          <w:color w:val="auto"/>
          <w:sz w:val="24"/>
          <w:szCs w:val="24"/>
          <w:highlight w:val="none"/>
          <w:u w:val="single"/>
        </w:rPr>
        <w:t xml:space="preserve">                                             </w:t>
      </w:r>
    </w:p>
    <w:p w14:paraId="0E6B7A73">
      <w:pPr>
        <w:shd w:val="clear"/>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br w:type="page"/>
      </w:r>
    </w:p>
    <w:p w14:paraId="75FCADCF">
      <w:pPr>
        <w:numPr>
          <w:ilvl w:val="0"/>
          <w:numId w:val="0"/>
        </w:numPr>
        <w:shd w:val="clear"/>
        <w:jc w:val="center"/>
        <w:rPr>
          <w:rFonts w:hint="eastAsia" w:ascii="宋体" w:hAnsi="宋体" w:eastAsia="宋体" w:cs="宋体"/>
          <w:b/>
          <w:bCs w:val="0"/>
          <w:color w:val="auto"/>
          <w:sz w:val="36"/>
          <w:szCs w:val="24"/>
          <w:highlight w:val="none"/>
        </w:rPr>
      </w:pPr>
      <w:r>
        <w:rPr>
          <w:rFonts w:hint="eastAsia" w:ascii="宋体" w:hAnsi="宋体" w:eastAsia="宋体" w:cs="宋体"/>
          <w:b/>
          <w:bCs w:val="0"/>
          <w:color w:val="auto"/>
          <w:sz w:val="36"/>
          <w:szCs w:val="24"/>
          <w:highlight w:val="none"/>
        </w:rPr>
        <w:t>拟签订采购合同文本</w:t>
      </w:r>
    </w:p>
    <w:p w14:paraId="473B7682">
      <w:pPr>
        <w:numPr>
          <w:ilvl w:val="0"/>
          <w:numId w:val="0"/>
        </w:numPr>
        <w:shd w:val="clear"/>
        <w:jc w:val="center"/>
        <w:rPr>
          <w:rFonts w:hint="eastAsia" w:ascii="宋体" w:hAnsi="宋体" w:eastAsia="宋体" w:cs="宋体"/>
          <w:b w:val="0"/>
          <w:bCs w:val="0"/>
          <w:color w:val="auto"/>
          <w:sz w:val="21"/>
          <w:szCs w:val="24"/>
          <w:highlight w:val="none"/>
          <w:lang w:eastAsia="zh-CN"/>
        </w:rPr>
      </w:pPr>
      <w:r>
        <w:rPr>
          <w:rFonts w:hint="eastAsia" w:ascii="宋体" w:hAnsi="宋体" w:eastAsia="宋体" w:cs="宋体"/>
          <w:b w:val="0"/>
          <w:bCs w:val="0"/>
          <w:color w:val="auto"/>
          <w:sz w:val="21"/>
          <w:szCs w:val="24"/>
          <w:highlight w:val="none"/>
          <w:lang w:eastAsia="zh-CN"/>
        </w:rPr>
        <w:t>（</w:t>
      </w:r>
      <w:r>
        <w:rPr>
          <w:rFonts w:hint="eastAsia" w:ascii="宋体" w:hAnsi="宋体" w:eastAsia="宋体" w:cs="宋体"/>
          <w:b w:val="0"/>
          <w:bCs w:val="0"/>
          <w:color w:val="auto"/>
          <w:sz w:val="21"/>
          <w:szCs w:val="24"/>
          <w:highlight w:val="none"/>
          <w:lang w:val="en-US" w:eastAsia="zh-CN"/>
        </w:rPr>
        <w:t>本合同为中小企业预留合同</w:t>
      </w:r>
      <w:r>
        <w:rPr>
          <w:rFonts w:hint="eastAsia" w:ascii="宋体" w:hAnsi="宋体" w:eastAsia="宋体" w:cs="宋体"/>
          <w:b w:val="0"/>
          <w:bCs w:val="0"/>
          <w:color w:val="auto"/>
          <w:sz w:val="21"/>
          <w:szCs w:val="24"/>
          <w:highlight w:val="none"/>
          <w:lang w:eastAsia="zh-CN"/>
        </w:rPr>
        <w:t>）</w:t>
      </w:r>
    </w:p>
    <w:p w14:paraId="7A08F906">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甲方（采购人）：</w:t>
      </w:r>
      <w:r>
        <w:rPr>
          <w:rFonts w:hint="eastAsia" w:ascii="宋体" w:hAnsi="宋体" w:eastAsia="宋体" w:cs="宋体"/>
          <w:b w:val="0"/>
          <w:bCs/>
          <w:color w:val="auto"/>
          <w:sz w:val="24"/>
          <w:szCs w:val="24"/>
          <w:highlight w:val="none"/>
          <w:u w:val="single"/>
          <w:lang w:val="en-US" w:eastAsia="zh-CN"/>
        </w:rPr>
        <w:t xml:space="preserve">                                </w:t>
      </w:r>
    </w:p>
    <w:p w14:paraId="703B22DF">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 xml:space="preserve"> </w:t>
      </w:r>
    </w:p>
    <w:p w14:paraId="42CB3E37">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single"/>
          <w:lang w:eastAsia="zh-CN"/>
        </w:rPr>
        <w:t>特勤中队办公楼修缮项目</w:t>
      </w:r>
      <w:r>
        <w:rPr>
          <w:rFonts w:hint="eastAsia" w:ascii="宋体" w:hAnsi="宋体" w:eastAsia="宋体" w:cs="宋体"/>
          <w:b w:val="0"/>
          <w:bCs/>
          <w:color w:val="auto"/>
          <w:sz w:val="24"/>
          <w:szCs w:val="24"/>
          <w:highlight w:val="none"/>
        </w:rPr>
        <w:t>在</w:t>
      </w:r>
      <w:r>
        <w:rPr>
          <w:rFonts w:hint="eastAsia" w:ascii="宋体" w:hAnsi="宋体" w:eastAsia="宋体" w:cs="宋体"/>
          <w:b w:val="0"/>
          <w:bCs/>
          <w:color w:val="auto"/>
          <w:sz w:val="24"/>
          <w:szCs w:val="24"/>
          <w:highlight w:val="none"/>
          <w:u w:val="single"/>
          <w:lang w:val="en-US" w:eastAsia="zh-CN"/>
        </w:rPr>
        <w:t>陕西齐海宇工程项目管理有限公司</w:t>
      </w:r>
      <w:r>
        <w:rPr>
          <w:rFonts w:hint="eastAsia" w:ascii="宋体" w:hAnsi="宋体" w:eastAsia="宋体" w:cs="宋体"/>
          <w:b w:val="0"/>
          <w:bCs/>
          <w:color w:val="auto"/>
          <w:sz w:val="24"/>
          <w:szCs w:val="24"/>
          <w:highlight w:val="none"/>
        </w:rPr>
        <w:t>组织</w:t>
      </w:r>
      <w:r>
        <w:rPr>
          <w:rFonts w:hint="eastAsia" w:ascii="宋体" w:hAnsi="宋体" w:eastAsia="宋体" w:cs="宋体"/>
          <w:b w:val="0"/>
          <w:bCs/>
          <w:color w:val="auto"/>
          <w:sz w:val="24"/>
          <w:szCs w:val="24"/>
          <w:highlight w:val="none"/>
          <w:lang w:eastAsia="zh-CN"/>
        </w:rPr>
        <w:t>竞争性磋商</w:t>
      </w:r>
      <w:r>
        <w:rPr>
          <w:rFonts w:hint="eastAsia" w:ascii="宋体" w:hAnsi="宋体" w:eastAsia="宋体" w:cs="宋体"/>
          <w:b w:val="0"/>
          <w:bCs/>
          <w:color w:val="auto"/>
          <w:sz w:val="24"/>
          <w:szCs w:val="24"/>
          <w:highlight w:val="none"/>
        </w:rPr>
        <w:t>，(以下简称“甲方”)确定（以下简称“乙方”）为的</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。依据《</w:t>
      </w:r>
      <w:r>
        <w:rPr>
          <w:rFonts w:hint="eastAsia" w:ascii="宋体" w:hAnsi="宋体" w:eastAsia="宋体" w:cs="宋体"/>
          <w:b w:val="0"/>
          <w:bCs/>
          <w:color w:val="auto"/>
          <w:sz w:val="24"/>
          <w:szCs w:val="24"/>
          <w:highlight w:val="none"/>
          <w:lang w:eastAsia="zh-CN"/>
        </w:rPr>
        <w:t>中华人民共和国民法典</w:t>
      </w:r>
      <w:r>
        <w:rPr>
          <w:rFonts w:hint="eastAsia" w:ascii="宋体" w:hAnsi="宋体" w:eastAsia="宋体" w:cs="宋体"/>
          <w:b w:val="0"/>
          <w:bCs/>
          <w:color w:val="auto"/>
          <w:sz w:val="24"/>
          <w:szCs w:val="24"/>
          <w:highlight w:val="none"/>
        </w:rPr>
        <w:t>》和《中华人民共和国政府采购法》，经双方协商按下述条款和条件签署本合同。</w:t>
      </w:r>
    </w:p>
    <w:p w14:paraId="4579A524">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一、合同价款</w:t>
      </w:r>
    </w:p>
    <w:p w14:paraId="238302EE">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（一）合同总价款：</w:t>
      </w:r>
      <w:r>
        <w:rPr>
          <w:rFonts w:hint="eastAsia" w:ascii="宋体" w:hAnsi="宋体" w:eastAsia="宋体" w:cs="宋体"/>
          <w:b w:val="0"/>
          <w:bCs/>
          <w:color w:val="auto"/>
          <w:sz w:val="24"/>
          <w:szCs w:val="24"/>
          <w:highlight w:val="none"/>
          <w:lang w:eastAsia="zh-CN"/>
        </w:rPr>
        <w:t>大写：</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元）</w:t>
      </w:r>
      <w:r>
        <w:rPr>
          <w:rFonts w:hint="eastAsia" w:ascii="宋体" w:hAnsi="宋体" w:eastAsia="宋体" w:cs="宋体"/>
          <w:b w:val="0"/>
          <w:bCs/>
          <w:color w:val="auto"/>
          <w:sz w:val="24"/>
          <w:szCs w:val="24"/>
          <w:highlight w:val="none"/>
        </w:rPr>
        <w:t>。</w:t>
      </w:r>
    </w:p>
    <w:p w14:paraId="5CECF5E4">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（二）合同总价包括：</w:t>
      </w:r>
      <w:r>
        <w:rPr>
          <w:rFonts w:hint="eastAsia" w:ascii="宋体" w:hAnsi="宋体" w:eastAsia="宋体" w:cs="宋体"/>
          <w:b w:val="0"/>
          <w:bCs/>
          <w:color w:val="auto"/>
          <w:sz w:val="24"/>
          <w:szCs w:val="24"/>
          <w:highlight w:val="none"/>
          <w:lang w:eastAsia="zh-CN"/>
        </w:rPr>
        <w:t>工程量清单的全部内容</w:t>
      </w:r>
      <w:r>
        <w:rPr>
          <w:rFonts w:hint="eastAsia" w:ascii="宋体" w:hAnsi="宋体" w:eastAsia="宋体" w:cs="宋体"/>
          <w:b w:val="0"/>
          <w:bCs/>
          <w:color w:val="auto"/>
          <w:sz w:val="24"/>
          <w:szCs w:val="24"/>
          <w:highlight w:val="none"/>
        </w:rPr>
        <w:t>，不受市场价变化的影响。合同价格为含税价。</w:t>
      </w:r>
    </w:p>
    <w:p w14:paraId="45AB3B7E">
      <w:pPr>
        <w:shd w:val="clear"/>
        <w:autoSpaceDE w:val="0"/>
        <w:autoSpaceDN w:val="0"/>
        <w:adjustRightInd w:val="0"/>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二、</w:t>
      </w:r>
      <w:r>
        <w:rPr>
          <w:rFonts w:hint="eastAsia" w:ascii="宋体" w:hAnsi="宋体" w:eastAsia="宋体" w:cs="宋体"/>
          <w:b/>
          <w:bCs w:val="0"/>
          <w:color w:val="auto"/>
          <w:sz w:val="24"/>
          <w:szCs w:val="24"/>
          <w:highlight w:val="none"/>
          <w:lang w:val="en-US" w:eastAsia="zh-CN"/>
        </w:rPr>
        <w:t>付款</w:t>
      </w:r>
      <w:r>
        <w:rPr>
          <w:rFonts w:hint="eastAsia" w:ascii="宋体" w:hAnsi="宋体" w:eastAsia="宋体" w:cs="宋体"/>
          <w:b/>
          <w:bCs w:val="0"/>
          <w:color w:val="auto"/>
          <w:sz w:val="24"/>
          <w:szCs w:val="24"/>
          <w:highlight w:val="none"/>
        </w:rPr>
        <w:t>方式</w:t>
      </w:r>
    </w:p>
    <w:p w14:paraId="25E05069">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合同签订后，达到付款条件10日，支付合同总价款的40%；完工验收合格后，达到付款条件10日，支付至合同总价款的70%；提交财政部门结算评审后，达到付款条件10日，按照评审金额支付剩余工程款。</w:t>
      </w:r>
    </w:p>
    <w:p w14:paraId="65966176">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三、实施地点及工期：</w:t>
      </w:r>
    </w:p>
    <w:p w14:paraId="44B12323">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（一）实施地点：</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32FC1A93">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（二）工期：</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7E6F0046">
      <w:pPr>
        <w:keepNext w:val="0"/>
        <w:keepLines w:val="0"/>
        <w:pageBreakBefore w:val="0"/>
        <w:widowControl w:val="0"/>
        <w:shd w:val="clear"/>
        <w:kinsoku/>
        <w:wordWrap/>
        <w:overflowPunct/>
        <w:topLinePunct w:val="0"/>
        <w:autoSpaceDE w:val="0"/>
        <w:autoSpaceDN w:val="0"/>
        <w:bidi w:val="0"/>
        <w:adjustRightInd w:val="0"/>
        <w:spacing w:line="360" w:lineRule="auto"/>
        <w:ind w:firstLine="1200" w:firstLineChars="500"/>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计划开工日期：</w:t>
      </w:r>
      <w:r>
        <w:rPr>
          <w:rFonts w:hint="eastAsia" w:ascii="宋体" w:hAnsi="宋体" w:eastAsia="宋体" w:cs="宋体"/>
          <w:b w:val="0"/>
          <w:bCs/>
          <w:color w:val="auto"/>
          <w:sz w:val="24"/>
          <w:szCs w:val="24"/>
          <w:highlight w:val="none"/>
          <w:u w:val="single"/>
          <w:lang w:val="en-US" w:eastAsia="zh-CN"/>
        </w:rPr>
        <w:t xml:space="preserve">                  </w:t>
      </w:r>
    </w:p>
    <w:p w14:paraId="58A62652">
      <w:pPr>
        <w:keepNext w:val="0"/>
        <w:keepLines w:val="0"/>
        <w:pageBreakBefore w:val="0"/>
        <w:widowControl w:val="0"/>
        <w:shd w:val="clear"/>
        <w:kinsoku/>
        <w:wordWrap/>
        <w:overflowPunct/>
        <w:topLinePunct w:val="0"/>
        <w:autoSpaceDE w:val="0"/>
        <w:autoSpaceDN w:val="0"/>
        <w:bidi w:val="0"/>
        <w:adjustRightInd w:val="0"/>
        <w:spacing w:line="360" w:lineRule="auto"/>
        <w:ind w:firstLine="1200" w:firstLineChars="500"/>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计划完工日期：</w:t>
      </w:r>
      <w:r>
        <w:rPr>
          <w:rFonts w:hint="eastAsia" w:ascii="宋体" w:hAnsi="宋体" w:eastAsia="宋体" w:cs="宋体"/>
          <w:b w:val="0"/>
          <w:bCs/>
          <w:color w:val="auto"/>
          <w:sz w:val="24"/>
          <w:szCs w:val="24"/>
          <w:highlight w:val="none"/>
          <w:u w:val="single"/>
          <w:lang w:val="en-US" w:eastAsia="zh-CN"/>
        </w:rPr>
        <w:t xml:space="preserve">                  </w:t>
      </w:r>
    </w:p>
    <w:p w14:paraId="78C2BD80">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（三）工程内容：详见工程量清单。</w:t>
      </w:r>
    </w:p>
    <w:p w14:paraId="37A7CD19">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（四）工程承包范围：工程量清单、答疑以及本磋商文件规定的全部内容。文字与清单不符时，以清单为准。</w:t>
      </w:r>
    </w:p>
    <w:p w14:paraId="435B8BE8">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（五）质量标准：符合国家现行有关施工质量验收规范“合格”要求。</w:t>
      </w:r>
    </w:p>
    <w:p w14:paraId="3F1B6768">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（六）项目经理姓名：</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；注册证号：</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w:t>
      </w:r>
    </w:p>
    <w:p w14:paraId="708C7F4B">
      <w:pPr>
        <w:keepNext w:val="0"/>
        <w:keepLines w:val="0"/>
        <w:pageBreakBefore w:val="0"/>
        <w:widowControl w:val="0"/>
        <w:shd w:val="clear"/>
        <w:kinsoku/>
        <w:wordWrap/>
        <w:overflowPunct/>
        <w:topLinePunct w:val="0"/>
        <w:autoSpaceDE/>
        <w:autoSpaceDN/>
        <w:bidi w:val="0"/>
        <w:adjustRightInd/>
        <w:snapToGrid/>
        <w:spacing w:after="120" w:afterLines="0" w:afterAutospacing="0" w:line="360" w:lineRule="auto"/>
        <w:ind w:left="0" w:leftChars="0" w:firstLine="482" w:firstLineChars="200"/>
        <w:jc w:val="both"/>
        <w:textAlignment w:val="auto"/>
        <w:rPr>
          <w:rFonts w:hint="eastAsia" w:ascii="宋体" w:hAnsi="宋体" w:eastAsia="宋体" w:cs="宋体"/>
          <w:b/>
          <w:bCs w:val="0"/>
          <w:color w:val="auto"/>
          <w:kern w:val="2"/>
          <w:sz w:val="24"/>
          <w:szCs w:val="24"/>
          <w:highlight w:val="none"/>
          <w:lang w:val="zh-CN" w:eastAsia="zh-CN" w:bidi="ar-SA"/>
        </w:rPr>
      </w:pPr>
      <w:r>
        <w:rPr>
          <w:rFonts w:hint="eastAsia" w:ascii="宋体" w:hAnsi="宋体" w:eastAsia="宋体" w:cs="宋体"/>
          <w:b/>
          <w:bCs w:val="0"/>
          <w:color w:val="auto"/>
          <w:kern w:val="2"/>
          <w:sz w:val="24"/>
          <w:szCs w:val="24"/>
          <w:highlight w:val="none"/>
          <w:lang w:val="zh-CN" w:eastAsia="zh-CN" w:bidi="ar-SA"/>
        </w:rPr>
        <w:t>四、质量保证</w:t>
      </w:r>
    </w:p>
    <w:p w14:paraId="5D19F247">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所选材料必须保证质量可靠、进货渠道正常，符合国家环保等相关标准，满足施工要求。</w:t>
      </w:r>
    </w:p>
    <w:p w14:paraId="470D693E">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工程质量符合国家有关规范，确保达到合格。</w:t>
      </w:r>
    </w:p>
    <w:p w14:paraId="1AF7B944">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该工程项目质量保修期按有关文件规定执行。</w:t>
      </w:r>
    </w:p>
    <w:p w14:paraId="613C6800">
      <w:pPr>
        <w:shd w:val="clear"/>
        <w:spacing w:line="360" w:lineRule="auto"/>
        <w:ind w:firstLine="600" w:firstLineChars="24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五、双方责任</w:t>
      </w:r>
    </w:p>
    <w:p w14:paraId="5E0DD384">
      <w:pPr>
        <w:shd w:val="clear"/>
        <w:spacing w:line="360" w:lineRule="auto"/>
        <w:ind w:firstLine="480" w:firstLineChars="200"/>
        <w:rPr>
          <w:rFonts w:hint="eastAsia" w:ascii="宋体" w:hAnsi="宋体" w:eastAsia="宋体" w:cs="宋体"/>
          <w:b/>
          <w:bCs w:val="0"/>
          <w:color w:val="auto"/>
          <w:sz w:val="24"/>
          <w:szCs w:val="24"/>
          <w:highlight w:val="none"/>
        </w:rPr>
      </w:pPr>
      <w:r>
        <w:rPr>
          <w:rFonts w:hint="eastAsia" w:ascii="宋体" w:hAnsi="宋体" w:eastAsia="宋体" w:cs="宋体"/>
          <w:b w:val="0"/>
          <w:bCs w:val="0"/>
          <w:color w:val="auto"/>
          <w:sz w:val="24"/>
          <w:szCs w:val="24"/>
          <w:highlight w:val="none"/>
        </w:rPr>
        <w:t>（一）甲方责任：</w:t>
      </w:r>
    </w:p>
    <w:p w14:paraId="3BF50B1E">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1、甲方负责施工场地的提供，排除施工障碍的协调。</w:t>
      </w:r>
    </w:p>
    <w:p w14:paraId="51A5C8E6">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2、组织设计、设计变更及现场签证，工程结算的审定等工作。</w:t>
      </w:r>
    </w:p>
    <w:p w14:paraId="049DFB8E">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3、对工程进度、质量进行监督检查。</w:t>
      </w:r>
    </w:p>
    <w:p w14:paraId="52541467">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4、组织有关单位对工程进行竣工验收。</w:t>
      </w:r>
    </w:p>
    <w:p w14:paraId="78EB7B34">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5、按时支付工程款。</w:t>
      </w:r>
    </w:p>
    <w:p w14:paraId="5C1663BC">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（二）乙方责任：</w:t>
      </w:r>
    </w:p>
    <w:p w14:paraId="5BDB06F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1、负责办理完成项目使用审批手续，负责工程安全文明施工、承担一切风险，满足甲方工程的需要。保证甲方正式投入使用，再无其他费用发生。</w:t>
      </w:r>
    </w:p>
    <w:p w14:paraId="0FE4A7F7">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5、隐蔽工程在覆盖前必须经甲方代表或现场监理代表验收签章后，方可进行下一道工序。</w:t>
      </w:r>
    </w:p>
    <w:p w14:paraId="7EEE0501">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7、采取有效的安全保障措施，确保施工安全，包括悬挂警示标牌、装设围栏、配备安全人员等，并承担事故的全部费用和责任。</w:t>
      </w:r>
    </w:p>
    <w:p w14:paraId="1330EE06">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8、工程竣工后提供竣工验收技术资料及竣工图</w:t>
      </w:r>
      <w:r>
        <w:rPr>
          <w:rFonts w:hint="eastAsia" w:ascii="宋体" w:hAnsi="宋体" w:eastAsia="宋体" w:cs="宋体"/>
          <w:b w:val="0"/>
          <w:bCs w:val="0"/>
          <w:color w:val="auto"/>
          <w:sz w:val="24"/>
          <w:szCs w:val="24"/>
          <w:highlight w:val="none"/>
          <w:u w:val="single"/>
        </w:rPr>
        <w:t>肆</w:t>
      </w:r>
      <w:r>
        <w:rPr>
          <w:rFonts w:hint="eastAsia" w:ascii="宋体" w:hAnsi="宋体" w:eastAsia="宋体" w:cs="宋体"/>
          <w:b w:val="0"/>
          <w:bCs w:val="0"/>
          <w:color w:val="auto"/>
          <w:sz w:val="24"/>
          <w:szCs w:val="24"/>
          <w:highlight w:val="none"/>
        </w:rPr>
        <w:t>套，办理工程竣工结算手续，参加工程竣工验收。</w:t>
      </w:r>
    </w:p>
    <w:p w14:paraId="1F7FD2E0">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9、已完工的项目，在交工前乙方应负责保管，清理现场达到建筑物无污染，现场无建筑垃圾。</w:t>
      </w:r>
    </w:p>
    <w:p w14:paraId="47A1257E">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10、本工程不得转包。</w:t>
      </w:r>
    </w:p>
    <w:p w14:paraId="2768DB0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11、乙方应在设备运行过程中，对安全隐患进行全面的不定期检查与维护，并对不按安全规程操作的施工单位及时制止，并报甲方进行处理。</w:t>
      </w:r>
    </w:p>
    <w:p w14:paraId="1609B63E">
      <w:pPr>
        <w:shd w:val="clear"/>
        <w:spacing w:line="360" w:lineRule="auto"/>
        <w:ind w:firstLine="480" w:firstLineChars="200"/>
        <w:rPr>
          <w:rFonts w:hint="eastAsia" w:ascii="宋体" w:hAnsi="宋体" w:eastAsia="宋体" w:cs="宋体"/>
          <w:b/>
          <w:bCs w:val="0"/>
          <w:color w:val="auto"/>
          <w:sz w:val="24"/>
          <w:szCs w:val="24"/>
          <w:highlight w:val="none"/>
          <w:lang w:val="zh-CN"/>
        </w:rPr>
      </w:pPr>
      <w:r>
        <w:rPr>
          <w:rFonts w:hint="eastAsia" w:ascii="宋体" w:hAnsi="宋体" w:eastAsia="宋体" w:cs="宋体"/>
          <w:b w:val="0"/>
          <w:bCs w:val="0"/>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hd w:val="clear"/>
        <w:spacing w:line="360" w:lineRule="auto"/>
        <w:ind w:firstLine="634" w:firstLineChars="263"/>
        <w:jc w:val="left"/>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六、组成合同的文件</w:t>
      </w:r>
    </w:p>
    <w:p w14:paraId="7CC7C26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1．组成本合同的文件包括：</w:t>
      </w:r>
    </w:p>
    <w:p w14:paraId="661A760D">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(1)、本合同书</w:t>
      </w:r>
    </w:p>
    <w:p w14:paraId="10A61BE6">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rPr>
        <w:t>通知书</w:t>
      </w:r>
    </w:p>
    <w:p w14:paraId="7A0DADE0">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磋商</w:t>
      </w:r>
      <w:r>
        <w:rPr>
          <w:rFonts w:hint="eastAsia" w:ascii="宋体" w:hAnsi="宋体" w:eastAsia="宋体" w:cs="宋体"/>
          <w:b w:val="0"/>
          <w:bCs w:val="0"/>
          <w:color w:val="auto"/>
          <w:sz w:val="24"/>
          <w:szCs w:val="24"/>
          <w:highlight w:val="none"/>
        </w:rPr>
        <w:t>文件及其附件</w:t>
      </w:r>
    </w:p>
    <w:p w14:paraId="6D3A7E89">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磋商报价</w:t>
      </w:r>
    </w:p>
    <w:p w14:paraId="77F49915">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技术标准和要求</w:t>
      </w:r>
    </w:p>
    <w:p w14:paraId="509737B3">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已标价工程量清单或预算书</w:t>
      </w:r>
    </w:p>
    <w:p w14:paraId="407EF5D8">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其他合同文件。</w:t>
      </w:r>
    </w:p>
    <w:p w14:paraId="5F6BC8A9">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2．双方有关工程的洽商、变更等书面协议或文件、补充协议书均视为本合同的组成部分。</w:t>
      </w:r>
    </w:p>
    <w:p w14:paraId="52D8AAEE">
      <w:pPr>
        <w:shd w:val="clear"/>
        <w:autoSpaceDE w:val="0"/>
        <w:autoSpaceDN w:val="0"/>
        <w:adjustRightInd w:val="0"/>
        <w:spacing w:line="360" w:lineRule="auto"/>
        <w:ind w:firstLine="472" w:firstLineChars="196"/>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七、验收</w:t>
      </w:r>
    </w:p>
    <w:p w14:paraId="4FCA3C12">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主材到现场后，由甲方对其进行验收，确认材料的产地、规格、数量。</w:t>
      </w:r>
    </w:p>
    <w:p w14:paraId="574ECC3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乙方工程完工后，进行自检，合格后准备验收文件，并书面通知甲方。</w:t>
      </w:r>
    </w:p>
    <w:p w14:paraId="7E3F8289">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甲方确认乙方的自检内容，验收合格作为工程的最终认可。</w:t>
      </w:r>
    </w:p>
    <w:p w14:paraId="1FD9BBF9">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（四）</w:t>
      </w:r>
      <w:r>
        <w:rPr>
          <w:rFonts w:hint="eastAsia" w:ascii="宋体" w:hAnsi="宋体" w:eastAsia="宋体" w:cs="宋体"/>
          <w:b w:val="0"/>
          <w:bCs w:val="0"/>
          <w:color w:val="auto"/>
          <w:sz w:val="24"/>
          <w:szCs w:val="24"/>
          <w:highlight w:val="none"/>
          <w:lang w:val="zh-CN"/>
        </w:rPr>
        <w:t>验收依据：</w:t>
      </w:r>
    </w:p>
    <w:p w14:paraId="465AC1B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4-1、合同、磋商文件、磋商响应文件及承诺。</w:t>
      </w:r>
    </w:p>
    <w:p w14:paraId="39570F57">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4-2、国家相关</w:t>
      </w:r>
      <w:r>
        <w:rPr>
          <w:rFonts w:hint="eastAsia" w:ascii="宋体" w:hAnsi="宋体" w:eastAsia="宋体" w:cs="宋体"/>
          <w:b w:val="0"/>
          <w:bCs/>
          <w:color w:val="auto"/>
          <w:sz w:val="24"/>
          <w:szCs w:val="24"/>
          <w:highlight w:val="none"/>
        </w:rPr>
        <w:t>标准、规范及有关技术文件</w:t>
      </w:r>
      <w:r>
        <w:rPr>
          <w:rFonts w:hint="eastAsia" w:ascii="宋体" w:hAnsi="宋体" w:eastAsia="宋体" w:cs="宋体"/>
          <w:b w:val="0"/>
          <w:bCs w:val="0"/>
          <w:color w:val="auto"/>
          <w:sz w:val="24"/>
          <w:szCs w:val="24"/>
          <w:highlight w:val="none"/>
          <w:lang w:val="zh-CN"/>
        </w:rPr>
        <w:t>。</w:t>
      </w:r>
    </w:p>
    <w:p w14:paraId="1FBE6CF1">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八、争议的解决方式</w:t>
      </w:r>
    </w:p>
    <w:p w14:paraId="63BF54C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合同执行过程中如发生争议，双方应及时协商解决，协商不成，双方均可向项目所在地人民法院起诉。</w:t>
      </w:r>
    </w:p>
    <w:p w14:paraId="7CC89644">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九、其他</w:t>
      </w:r>
    </w:p>
    <w:p w14:paraId="04D13C2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本合同未定事宜，双方可根据具体情况结合有关规定另行签订补充协议，补充协议与本合同具有同等法律效力。</w:t>
      </w:r>
    </w:p>
    <w:p w14:paraId="3B7B32B4">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十、附则</w:t>
      </w:r>
    </w:p>
    <w:p w14:paraId="2266E14F">
      <w:pPr>
        <w:shd w:val="clear"/>
        <w:tabs>
          <w:tab w:val="left" w:pos="0"/>
        </w:tabs>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（一）本合同一式</w:t>
      </w:r>
      <w:r>
        <w:rPr>
          <w:rFonts w:hint="eastAsia" w:ascii="宋体" w:hAnsi="宋体" w:eastAsia="宋体" w:cs="宋体"/>
          <w:b w:val="0"/>
          <w:bCs w:val="0"/>
          <w:color w:val="auto"/>
          <w:sz w:val="24"/>
          <w:szCs w:val="24"/>
          <w:highlight w:val="none"/>
          <w:u w:val="single"/>
          <w:lang w:val="en-US" w:eastAsia="zh-CN"/>
        </w:rPr>
        <w:t>肆</w:t>
      </w:r>
      <w:r>
        <w:rPr>
          <w:rFonts w:hint="eastAsia" w:ascii="宋体" w:hAnsi="宋体" w:eastAsia="宋体" w:cs="宋体"/>
          <w:b w:val="0"/>
          <w:bCs w:val="0"/>
          <w:color w:val="auto"/>
          <w:sz w:val="24"/>
          <w:szCs w:val="24"/>
          <w:highlight w:val="none"/>
        </w:rPr>
        <w:t>份，甲、乙方各执</w:t>
      </w:r>
      <w:r>
        <w:rPr>
          <w:rFonts w:hint="eastAsia" w:ascii="宋体" w:hAnsi="宋体" w:eastAsia="宋体" w:cs="宋体"/>
          <w:b w:val="0"/>
          <w:bCs w:val="0"/>
          <w:color w:val="auto"/>
          <w:sz w:val="24"/>
          <w:szCs w:val="24"/>
          <w:highlight w:val="none"/>
          <w:u w:val="single"/>
          <w:lang w:val="en-US" w:eastAsia="zh-CN"/>
        </w:rPr>
        <w:t>贰</w:t>
      </w:r>
      <w:r>
        <w:rPr>
          <w:rFonts w:hint="eastAsia" w:ascii="宋体" w:hAnsi="宋体" w:eastAsia="宋体" w:cs="宋体"/>
          <w:b w:val="0"/>
          <w:bCs w:val="0"/>
          <w:color w:val="auto"/>
          <w:sz w:val="24"/>
          <w:szCs w:val="24"/>
          <w:highlight w:val="none"/>
        </w:rPr>
        <w:t>份。</w:t>
      </w:r>
    </w:p>
    <w:p w14:paraId="602BB07B">
      <w:pPr>
        <w:shd w:val="clear"/>
        <w:spacing w:line="360" w:lineRule="auto"/>
        <w:ind w:firstLine="480" w:firstLineChars="200"/>
        <w:rPr>
          <w:rFonts w:hint="eastAsia" w:ascii="宋体" w:hAnsi="宋体" w:eastAsia="宋体" w:cs="宋体"/>
          <w:b w:val="0"/>
          <w:bCs w:val="0"/>
          <w:color w:val="auto"/>
          <w:spacing w:val="-20"/>
          <w:kern w:val="0"/>
          <w:sz w:val="24"/>
          <w:szCs w:val="24"/>
          <w:highlight w:val="none"/>
        </w:rPr>
      </w:pPr>
      <w:r>
        <w:rPr>
          <w:rFonts w:hint="eastAsia" w:ascii="宋体" w:hAnsi="宋体" w:eastAsia="宋体" w:cs="宋体"/>
          <w:b w:val="0"/>
          <w:bCs w:val="0"/>
          <w:color w:val="auto"/>
          <w:sz w:val="24"/>
          <w:szCs w:val="24"/>
          <w:highlight w:val="none"/>
        </w:rPr>
        <w:t>（二）合同经双方盖章后生效，各条款执行完毕后终止。</w:t>
      </w:r>
    </w:p>
    <w:tbl>
      <w:tblPr>
        <w:tblStyle w:val="6"/>
        <w:tblW w:w="8559" w:type="dxa"/>
        <w:jc w:val="center"/>
        <w:tblLayout w:type="fixed"/>
        <w:tblCellMar>
          <w:top w:w="0" w:type="dxa"/>
          <w:left w:w="108" w:type="dxa"/>
          <w:bottom w:w="0" w:type="dxa"/>
          <w:right w:w="108" w:type="dxa"/>
        </w:tblCellMar>
      </w:tblPr>
      <w:tblGrid>
        <w:gridCol w:w="4279"/>
        <w:gridCol w:w="4280"/>
      </w:tblGrid>
      <w:tr w14:paraId="476FF227">
        <w:tblPrEx>
          <w:tblCellMar>
            <w:top w:w="0" w:type="dxa"/>
            <w:left w:w="108" w:type="dxa"/>
            <w:bottom w:w="0" w:type="dxa"/>
            <w:right w:w="108" w:type="dxa"/>
          </w:tblCellMar>
        </w:tblPrEx>
        <w:trPr>
          <w:trHeight w:val="567" w:hRule="exact"/>
          <w:jc w:val="center"/>
        </w:trPr>
        <w:tc>
          <w:tcPr>
            <w:tcW w:w="4279" w:type="dxa"/>
            <w:noWrap/>
            <w:vAlign w:val="center"/>
          </w:tcPr>
          <w:p w14:paraId="6EA19CA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  方</w:t>
            </w:r>
          </w:p>
        </w:tc>
        <w:tc>
          <w:tcPr>
            <w:tcW w:w="4280" w:type="dxa"/>
            <w:noWrap/>
            <w:vAlign w:val="center"/>
          </w:tcPr>
          <w:p w14:paraId="29CC40F0">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79" w:type="dxa"/>
            <w:noWrap/>
            <w:vAlign w:val="center"/>
          </w:tcPr>
          <w:p w14:paraId="209C88E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c>
          <w:tcPr>
            <w:tcW w:w="4280" w:type="dxa"/>
            <w:noWrap/>
            <w:vAlign w:val="center"/>
          </w:tcPr>
          <w:p w14:paraId="492DFABB">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79" w:type="dxa"/>
            <w:noWrap/>
            <w:vAlign w:val="center"/>
          </w:tcPr>
          <w:p w14:paraId="65C7B48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地址： </w:t>
            </w:r>
          </w:p>
        </w:tc>
        <w:tc>
          <w:tcPr>
            <w:tcW w:w="4280" w:type="dxa"/>
            <w:noWrap/>
            <w:vAlign w:val="center"/>
          </w:tcPr>
          <w:p w14:paraId="789FFEB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79" w:type="dxa"/>
            <w:noWrap/>
            <w:vAlign w:val="center"/>
          </w:tcPr>
          <w:p w14:paraId="1D696CB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c>
          <w:tcPr>
            <w:tcW w:w="4280" w:type="dxa"/>
            <w:noWrap/>
            <w:vAlign w:val="center"/>
          </w:tcPr>
          <w:p w14:paraId="1659783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79" w:type="dxa"/>
            <w:noWrap/>
            <w:vAlign w:val="center"/>
          </w:tcPr>
          <w:p w14:paraId="0E3191E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 xml:space="preserve">被授权代表： </w:t>
            </w:r>
          </w:p>
        </w:tc>
        <w:tc>
          <w:tcPr>
            <w:tcW w:w="4280" w:type="dxa"/>
            <w:noWrap/>
            <w:vAlign w:val="center"/>
          </w:tcPr>
          <w:p w14:paraId="586A4FB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79" w:type="dxa"/>
            <w:noWrap/>
            <w:vAlign w:val="center"/>
          </w:tcPr>
          <w:p w14:paraId="1D737D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c>
          <w:tcPr>
            <w:tcW w:w="4280" w:type="dxa"/>
            <w:noWrap/>
            <w:vAlign w:val="center"/>
          </w:tcPr>
          <w:p w14:paraId="75C3D45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79" w:type="dxa"/>
            <w:noWrap/>
            <w:vAlign w:val="center"/>
          </w:tcPr>
          <w:p w14:paraId="275486E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c>
          <w:tcPr>
            <w:tcW w:w="4280" w:type="dxa"/>
            <w:noWrap/>
            <w:vAlign w:val="center"/>
          </w:tcPr>
          <w:p w14:paraId="57775C5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79" w:type="dxa"/>
            <w:noWrap/>
            <w:vAlign w:val="center"/>
          </w:tcPr>
          <w:p w14:paraId="1AA5D7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c>
          <w:tcPr>
            <w:tcW w:w="4280" w:type="dxa"/>
            <w:noWrap/>
            <w:vAlign w:val="center"/>
          </w:tcPr>
          <w:p w14:paraId="1D03134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79" w:type="dxa"/>
            <w:noWrap/>
            <w:vAlign w:val="center"/>
          </w:tcPr>
          <w:p w14:paraId="76C4979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c>
          <w:tcPr>
            <w:tcW w:w="4280" w:type="dxa"/>
            <w:noWrap/>
            <w:vAlign w:val="center"/>
          </w:tcPr>
          <w:p w14:paraId="474D746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r>
    </w:tbl>
    <w:p w14:paraId="3E0DB32E">
      <w:pPr>
        <w:widowControl w:val="0"/>
        <w:shd w:val="clear"/>
        <w:jc w:val="both"/>
        <w:rPr>
          <w:rFonts w:hint="eastAsia" w:ascii="宋体" w:hAnsi="宋体" w:eastAsia="宋体" w:cs="宋体"/>
          <w:b w:val="0"/>
          <w:bCs w:val="0"/>
          <w:color w:val="auto"/>
          <w:kern w:val="2"/>
          <w:sz w:val="21"/>
          <w:szCs w:val="21"/>
          <w:highlight w:val="none"/>
          <w:lang w:val="en-US" w:eastAsia="zh-CN" w:bidi="ar-SA"/>
        </w:rPr>
      </w:pPr>
    </w:p>
    <w:p w14:paraId="2C85DDE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06F2D00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w:t>
      </w:r>
      <w:bookmarkStart w:id="0" w:name="_Toc296944565"/>
      <w:bookmarkStart w:id="1" w:name="_Toc296503226"/>
      <w:bookmarkStart w:id="2" w:name="_Toc296347225"/>
      <w:bookmarkStart w:id="3" w:name="_Toc296891266"/>
      <w:bookmarkStart w:id="4" w:name="_Toc296346727"/>
      <w:bookmarkStart w:id="5" w:name="_Toc296891054"/>
      <w:bookmarkStart w:id="6" w:name="_Toc267261693"/>
      <w:r>
        <w:rPr>
          <w:rFonts w:hint="eastAsia" w:ascii="宋体" w:hAnsi="宋体" w:eastAsia="宋体" w:cs="宋体"/>
          <w:b w:val="0"/>
          <w:bCs w:val="0"/>
          <w:color w:val="auto"/>
          <w:sz w:val="24"/>
          <w:szCs w:val="24"/>
          <w:highlight w:val="none"/>
        </w:rPr>
        <w:t>件</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w:t>
      </w:r>
      <w:bookmarkEnd w:id="0"/>
      <w:bookmarkEnd w:id="1"/>
      <w:bookmarkEnd w:id="2"/>
      <w:bookmarkEnd w:id="3"/>
      <w:bookmarkEnd w:id="4"/>
      <w:bookmarkEnd w:id="5"/>
      <w:bookmarkEnd w:id="6"/>
      <w:r>
        <w:rPr>
          <w:rFonts w:hint="eastAsia" w:ascii="宋体" w:hAnsi="宋体" w:eastAsia="宋体" w:cs="宋体"/>
          <w:b w:val="0"/>
          <w:bCs w:val="0"/>
          <w:color w:val="auto"/>
          <w:sz w:val="24"/>
          <w:szCs w:val="24"/>
          <w:highlight w:val="none"/>
        </w:rPr>
        <w:t xml:space="preserve">    </w:t>
      </w:r>
    </w:p>
    <w:p w14:paraId="0DD9A668">
      <w:pPr>
        <w:keepNext w:val="0"/>
        <w:keepLines w:val="0"/>
        <w:pageBreakBefore w:val="0"/>
        <w:widowControl w:val="0"/>
        <w:shd w:val="clear"/>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工程质量保修书</w:t>
      </w:r>
    </w:p>
    <w:p w14:paraId="5EAC2D92">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发包人（</w:t>
      </w:r>
      <w:r>
        <w:rPr>
          <w:rFonts w:hint="eastAsia" w:ascii="宋体" w:hAnsi="宋体" w:eastAsia="宋体" w:cs="宋体"/>
          <w:b w:val="0"/>
          <w:bCs/>
          <w:color w:val="auto"/>
          <w:sz w:val="24"/>
          <w:szCs w:val="24"/>
          <w:highlight w:val="none"/>
        </w:rPr>
        <w:t>采购人</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single"/>
          <w:lang w:val="en-US" w:eastAsia="zh-CN"/>
        </w:rPr>
        <w:t xml:space="preserve">                               </w:t>
      </w:r>
    </w:p>
    <w:p w14:paraId="16D62DBF">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p>
    <w:p w14:paraId="233ECB6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p>
    <w:p w14:paraId="39863E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发包人和承包人根据《中华人民共和国建筑法》和《建设工程质量管理条例》，经协商一致就</w:t>
      </w:r>
      <w:r>
        <w:rPr>
          <w:rFonts w:hint="eastAsia" w:ascii="宋体" w:hAnsi="宋体" w:eastAsia="宋体" w:cs="宋体"/>
          <w:b w:val="0"/>
          <w:bCs w:val="0"/>
          <w:color w:val="auto"/>
          <w:sz w:val="24"/>
          <w:szCs w:val="24"/>
          <w:highlight w:val="none"/>
          <w:u w:val="single"/>
          <w:lang w:val="en-US" w:eastAsia="zh-CN"/>
        </w:rPr>
        <w:t>（特勤中队办公楼修缮项目</w:t>
      </w:r>
      <w:r>
        <w:rPr>
          <w:rFonts w:hint="eastAsia" w:ascii="宋体" w:hAnsi="宋体" w:eastAsia="宋体" w:cs="宋体"/>
          <w:b w:val="0"/>
          <w:bCs w:val="0"/>
          <w:color w:val="auto"/>
          <w:sz w:val="24"/>
          <w:szCs w:val="24"/>
          <w:highlight w:val="none"/>
        </w:rPr>
        <w:t>）签订工程质量保修书。</w:t>
      </w:r>
    </w:p>
    <w:p w14:paraId="6DFFCA0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一、工程质量保修范围和内容</w:t>
      </w:r>
    </w:p>
    <w:p w14:paraId="31B8FBB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承包人在质量保修期内，按照有关法律规定和合同约定，承担工程质量保修责任。</w:t>
      </w:r>
    </w:p>
    <w:p w14:paraId="3CDAB9A0">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05793E0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二、质量保修期</w:t>
      </w:r>
    </w:p>
    <w:p w14:paraId="26AD1F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根据《建设工程质量管理条例》及有关规定，工程的质量保修期如下：</w:t>
      </w:r>
    </w:p>
    <w:p w14:paraId="56A34E5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1．地基基础工程和主体结构工程为设计文件规定的工程合理使用年限；</w:t>
      </w:r>
    </w:p>
    <w:p w14:paraId="1636620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2．屋面防水工程、有防水要求的卫生间、房间和外墙面的防渗为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5</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58751D6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3．装修工程为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F0DA7C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4．电气管线、给排水管道、设备安装工程为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0698552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5．供热与供冷系统为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个采暖期、供冷期；</w:t>
      </w:r>
    </w:p>
    <w:p w14:paraId="4BC7A3F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6．住宅小区内的给排水设施、道路等配套工程为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76E816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质量保修期自工程竣工验收合格之日起计算。</w:t>
      </w:r>
    </w:p>
    <w:p w14:paraId="7316DB6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三、缺陷责任期</w:t>
      </w:r>
    </w:p>
    <w:p w14:paraId="6A8D0DF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工程缺陷责任期为</w:t>
      </w:r>
      <w:r>
        <w:rPr>
          <w:rFonts w:hint="eastAsia" w:ascii="宋体" w:hAnsi="宋体" w:eastAsia="宋体" w:cs="宋体"/>
          <w:b w:val="0"/>
          <w:bCs w:val="0"/>
          <w:color w:val="auto"/>
          <w:sz w:val="24"/>
          <w:szCs w:val="24"/>
          <w:highlight w:val="none"/>
          <w:u w:val="single"/>
          <w:lang w:val="en-US" w:eastAsia="zh-CN"/>
        </w:rPr>
        <w:t>12</w:t>
      </w:r>
      <w:r>
        <w:rPr>
          <w:rFonts w:hint="eastAsia" w:ascii="宋体" w:hAnsi="宋体" w:eastAsia="宋体" w:cs="宋体"/>
          <w:b w:val="0"/>
          <w:bCs w:val="0"/>
          <w:color w:val="auto"/>
          <w:sz w:val="24"/>
          <w:szCs w:val="24"/>
          <w:highlight w:val="none"/>
        </w:rPr>
        <w:t>个月，缺陷责任期自工程通过竣工验收之日起计算。单位工程先于全部工程进行验收，单位工程缺陷责任期自单位工程验收合格之日起算。</w:t>
      </w:r>
    </w:p>
    <w:p w14:paraId="3BAA9B2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缺陷责任期终止后，发包人应退还剩余的质量保证金。</w:t>
      </w:r>
    </w:p>
    <w:p w14:paraId="15781BD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四、质量保修责任</w:t>
      </w:r>
    </w:p>
    <w:p w14:paraId="6F4FBFE6">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shd w:val="clear"/>
        <w:kinsoku/>
        <w:wordWrap/>
        <w:overflowPunct/>
        <w:topLinePunct w:val="0"/>
        <w:autoSpaceDE/>
        <w:autoSpaceDN/>
        <w:bidi w:val="0"/>
        <w:adjustRightInd/>
        <w:snapToGrid/>
        <w:spacing w:line="360" w:lineRule="auto"/>
        <w:ind w:left="960" w:leftChars="200" w:firstLine="120" w:firstLineChars="5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4．质量保修完成后，由发包人组织验收。</w:t>
      </w:r>
    </w:p>
    <w:p w14:paraId="5FE8B6C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五、保修费用</w:t>
      </w:r>
    </w:p>
    <w:p w14:paraId="72F0C65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保修费用由造成质量缺陷的责任方承担。</w:t>
      </w:r>
    </w:p>
    <w:p w14:paraId="4A9232B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六、双方约定的其他工程质量保修事项：</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E2196CD">
      <w:pPr>
        <w:keepNext w:val="0"/>
        <w:keepLines w:val="0"/>
        <w:pageBreakBefore w:val="0"/>
        <w:widowControl w:val="0"/>
        <w:shd w:val="clear"/>
        <w:kinsoku/>
        <w:wordWrap/>
        <w:overflowPunct/>
        <w:topLinePunct w:val="0"/>
        <w:autoSpaceDE/>
        <w:autoSpaceDN/>
        <w:bidi w:val="0"/>
        <w:adjustRightInd/>
        <w:snapToGrid/>
        <w:spacing w:line="360" w:lineRule="auto"/>
        <w:ind w:firstLine="456" w:firstLineChars="19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shd w:val="clear"/>
        <w:kinsoku/>
        <w:wordWrap/>
        <w:overflowPunct/>
        <w:topLinePunct w:val="0"/>
        <w:autoSpaceDE/>
        <w:autoSpaceDN/>
        <w:bidi w:val="0"/>
        <w:adjustRightInd/>
        <w:snapToGrid/>
        <w:spacing w:line="360" w:lineRule="auto"/>
        <w:ind w:firstLine="420"/>
        <w:textAlignment w:val="auto"/>
        <w:outlineLvl w:val="9"/>
        <w:rPr>
          <w:rFonts w:hint="eastAsia" w:ascii="宋体" w:hAnsi="宋体" w:eastAsia="宋体" w:cs="宋体"/>
          <w:b w:val="0"/>
          <w:bCs w:val="0"/>
          <w:color w:val="auto"/>
          <w:sz w:val="24"/>
          <w:szCs w:val="24"/>
          <w:highlight w:val="none"/>
        </w:rPr>
      </w:pPr>
    </w:p>
    <w:p w14:paraId="38A16795">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发包人(公章)：</w:t>
      </w:r>
      <w:r>
        <w:rPr>
          <w:rFonts w:hint="eastAsia" w:ascii="宋体" w:hAnsi="宋体" w:eastAsia="宋体" w:cs="宋体"/>
          <w:b w:val="0"/>
          <w:bCs w:val="0"/>
          <w:color w:val="auto"/>
          <w:sz w:val="24"/>
          <w:szCs w:val="24"/>
          <w:highlight w:val="none"/>
          <w:u w:val="single"/>
        </w:rPr>
        <w:t xml:space="preserve"> 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承包人(公章)：</w:t>
      </w:r>
      <w:r>
        <w:rPr>
          <w:rFonts w:hint="eastAsia" w:ascii="宋体" w:hAnsi="宋体" w:eastAsia="宋体" w:cs="宋体"/>
          <w:b w:val="0"/>
          <w:bCs w:val="0"/>
          <w:color w:val="auto"/>
          <w:sz w:val="24"/>
          <w:szCs w:val="24"/>
          <w:highlight w:val="none"/>
          <w:u w:val="single"/>
        </w:rPr>
        <w:t xml:space="preserve">           </w:t>
      </w:r>
    </w:p>
    <w:p w14:paraId="77B3C56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p>
    <w:p w14:paraId="7657809D">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p>
    <w:p w14:paraId="067CF0BB">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p>
    <w:p w14:paraId="72E244D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p>
    <w:p w14:paraId="5FF8DB29">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   </w:t>
      </w:r>
    </w:p>
    <w:p w14:paraId="22AF74F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p>
    <w:p w14:paraId="0DD22418">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w:t>
      </w:r>
    </w:p>
    <w:p w14:paraId="452275D0">
      <w:pPr>
        <w:shd w:val="clear"/>
        <w:ind w:firstLine="240" w:firstLineChars="100"/>
        <w:rPr>
          <w:rFonts w:hint="eastAsia" w:ascii="宋体" w:hAnsi="宋体" w:eastAsia="宋体" w:cs="宋体"/>
          <w:b w:val="0"/>
          <w:bCs w:val="0"/>
          <w:color w:val="auto"/>
          <w:sz w:val="21"/>
          <w:szCs w:val="24"/>
          <w:highlight w:val="none"/>
          <w:lang w:val="en-US" w:eastAsia="zh-Hans"/>
        </w:rPr>
      </w:pP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w:t>
      </w:r>
    </w:p>
    <w:p w14:paraId="1AF7EF4A">
      <w:pPr>
        <w:tabs>
          <w:tab w:val="left" w:pos="6354"/>
        </w:tabs>
        <w:jc w:val="left"/>
        <w:rPr>
          <w:rFonts w:hint="eastAsia" w:ascii="宋体" w:hAnsi="宋体" w:eastAsia="宋体" w:cs="宋体"/>
          <w:b w:val="0"/>
          <w:bCs w:val="0"/>
          <w:sz w:val="24"/>
          <w:szCs w:val="24"/>
          <w:lang w:eastAsia="zh-CN"/>
        </w:rPr>
      </w:pPr>
    </w:p>
    <w:sectPr>
      <w:footerReference r:id="rId3"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B0336">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zNjYwYjliYTE5YjE1MjNlODUzMWZiYWE1ZGI0NDIifQ=="/>
  </w:docVars>
  <w:rsids>
    <w:rsidRoot w:val="01F17466"/>
    <w:rsid w:val="01F17466"/>
    <w:rsid w:val="045F303F"/>
    <w:rsid w:val="0BC82BEF"/>
    <w:rsid w:val="0C4E3264"/>
    <w:rsid w:val="0C6B3101"/>
    <w:rsid w:val="15AC242F"/>
    <w:rsid w:val="1B78707B"/>
    <w:rsid w:val="214C0A86"/>
    <w:rsid w:val="2FBD4252"/>
    <w:rsid w:val="32AB07D8"/>
    <w:rsid w:val="363A62C3"/>
    <w:rsid w:val="390C110F"/>
    <w:rsid w:val="3F7C1187"/>
    <w:rsid w:val="414544E4"/>
    <w:rsid w:val="449E2B67"/>
    <w:rsid w:val="47CA2F4D"/>
    <w:rsid w:val="57D83E10"/>
    <w:rsid w:val="5CC91F79"/>
    <w:rsid w:val="65037FF2"/>
    <w:rsid w:val="686A7366"/>
    <w:rsid w:val="6EBF2845"/>
    <w:rsid w:val="6EFC4430"/>
    <w:rsid w:val="73FF1C70"/>
    <w:rsid w:val="7651455D"/>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b/>
      <w:bCs/>
      <w:kern w:val="2"/>
      <w:sz w:val="48"/>
      <w:szCs w:val="48"/>
      <w:lang w:val="en-US" w:eastAsia="zh-CN" w:bidi="ar-SA"/>
    </w:rPr>
  </w:style>
  <w:style w:type="paragraph" w:styleId="2">
    <w:name w:val="heading 1"/>
    <w:basedOn w:val="1"/>
    <w:next w:val="1"/>
    <w:qFormat/>
    <w:uiPriority w:val="0"/>
    <w:pPr>
      <w:snapToGrid w:val="0"/>
      <w:spacing w:line="360" w:lineRule="auto"/>
      <w:jc w:val="center"/>
      <w:outlineLvl w:val="0"/>
    </w:pPr>
    <w:rPr>
      <w:rFonts w:hint="eastAsia" w:ascii="宋体" w:hAnsi="宋体" w:eastAsia="宋体" w:cs="Times New Roman"/>
      <w:kern w:val="44"/>
      <w:sz w:val="32"/>
      <w:szCs w:val="4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2334</Words>
  <Characters>2480</Characters>
  <Lines>0</Lines>
  <Paragraphs>0</Paragraphs>
  <TotalTime>0</TotalTime>
  <ScaleCrop>false</ScaleCrop>
  <LinksUpToDate>false</LinksUpToDate>
  <CharactersWithSpaces>2587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2025-04-01T04:38:00Z</dcterms:created>
  <dc:creator>满心欢喜</dc:creator>
  <cp:lastModifiedBy>江格</cp:lastModifiedBy>
  <dcterms:modified xsi:type="dcterms:W3CDTF">2026-04-29T08:18:35Z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0D1DED42BCA04A108AFB6F9EF974108E_11</vt:lpwstr>
  </property>
  <property fmtid="{D5CDD505-2E9C-101B-9397-08002B2CF9AE}" pid="4" name="KSOTemplateDocerSaveRecord">
    <vt:lpwstr>eyJoZGlkIjoiNmUzNjYwYjliYTE5YjE1MjNlODUzMWZiYWE1ZGI0NDIiLCJ1c2VySWQiOiI0NjU2ODIyMzgifQ==</vt:lpwstr>
  </property>
</Properties>
</file>