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版本号：SXDXYZB2025-03-0120260407001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数字化透视摄影X射线机</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SXDXYZB2025-03-01</w:t>
      </w:r>
      <w:r>
        <w:br/>
      </w:r>
      <w:r>
        <w:br/>
      </w:r>
      <w:r>
        <w:br/>
      </w:r>
    </w:p>
    <w:p>
      <w:pPr>
        <w:pStyle w:val="null3"/>
        <w:jc w:val="center"/>
        <w:outlineLvl w:val="2"/>
      </w:pPr>
      <w:r>
        <w:rPr>
          <w:rFonts w:ascii="仿宋_GB2312" w:hAnsi="仿宋_GB2312" w:cs="仿宋_GB2312" w:eastAsia="仿宋_GB2312"/>
          <w:sz w:val="28"/>
          <w:b/>
        </w:rPr>
        <w:t>西安市未央区辛家庙社区卫生服务中心</w:t>
      </w:r>
    </w:p>
    <w:p>
      <w:pPr>
        <w:pStyle w:val="null3"/>
        <w:jc w:val="center"/>
        <w:outlineLvl w:val="2"/>
      </w:pPr>
      <w:r>
        <w:rPr>
          <w:rFonts w:ascii="仿宋_GB2312" w:hAnsi="仿宋_GB2312" w:cs="仿宋_GB2312" w:eastAsia="仿宋_GB2312"/>
          <w:sz w:val="28"/>
          <w:b/>
        </w:rPr>
        <w:t>陕西德欣源项目管理有限公司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陕西德欣源项目管理有限公司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西安市未央区辛家庙社区卫生服务中心</w:t>
      </w:r>
      <w:r>
        <w:rPr>
          <w:rFonts w:ascii="仿宋_GB2312" w:hAnsi="仿宋_GB2312" w:cs="仿宋_GB2312" w:eastAsia="仿宋_GB2312"/>
        </w:rPr>
        <w:t>委托，拟对</w:t>
      </w:r>
      <w:r>
        <w:rPr>
          <w:rFonts w:ascii="仿宋_GB2312" w:hAnsi="仿宋_GB2312" w:cs="仿宋_GB2312" w:eastAsia="仿宋_GB2312"/>
        </w:rPr>
        <w:t>数字化透视摄影X射线机</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SXDXYZB2025-03-01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数字化透视摄影X射线机</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为保障中心医疗工作正常开展，本项目采购数字化透视摄影X射线机，用于胸部、腹部、四肢骨骼系统立位、卧位摄影，诊断骨折、肺部疾病、腹部病变等常见检查。</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2、财务状况报告（任选其一）：财务状况报告（任选其一）①2024年度或2025年度经审计的完整财务审计报告（成立时间至提交响应文件截止时间不足一年的可提供成立后任意时段的资产负债表）； ②或提交响应文件截止时间三个月内其基本账户开户银行出具的资信证明（附基本存款账户信息）。</w:t>
      </w:r>
    </w:p>
    <w:p>
      <w:pPr>
        <w:pStyle w:val="null3"/>
      </w:pPr>
      <w:r>
        <w:rPr>
          <w:rFonts w:ascii="仿宋_GB2312" w:hAnsi="仿宋_GB2312" w:cs="仿宋_GB2312" w:eastAsia="仿宋_GB2312"/>
        </w:rPr>
        <w:t>3、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pPr>
        <w:pStyle w:val="null3"/>
      </w:pPr>
      <w:r>
        <w:rPr>
          <w:rFonts w:ascii="仿宋_GB2312" w:hAnsi="仿宋_GB2312" w:cs="仿宋_GB2312" w:eastAsia="仿宋_GB2312"/>
        </w:rPr>
        <w:t>4、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pPr>
        <w:pStyle w:val="null3"/>
      </w:pPr>
      <w:r>
        <w:rPr>
          <w:rFonts w:ascii="仿宋_GB2312" w:hAnsi="仿宋_GB2312" w:cs="仿宋_GB2312" w:eastAsia="仿宋_GB2312"/>
        </w:rPr>
        <w:t>5、无重大违法记录声明：提供参加本次政府采购活动前3年内在经营活动中没有重大违法记录的书面声明。</w:t>
      </w:r>
    </w:p>
    <w:p>
      <w:pPr>
        <w:pStyle w:val="null3"/>
      </w:pPr>
      <w:r>
        <w:rPr>
          <w:rFonts w:ascii="仿宋_GB2312" w:hAnsi="仿宋_GB2312" w:cs="仿宋_GB2312" w:eastAsia="仿宋_GB2312"/>
        </w:rPr>
        <w:t>6、信用记录：供应商未被“信用中国”网站（www.creditchina.gov.cn）中列入失信被执行人和重大税收违法失信主体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7、控股管理关系：提供直接控股和管理关系清单。若与其他响应供应商存在单位负责人为同一人或者存在直接控股、管理关系的，则投标无效。</w:t>
      </w:r>
    </w:p>
    <w:p>
      <w:pPr>
        <w:pStyle w:val="null3"/>
      </w:pPr>
      <w:r>
        <w:rPr>
          <w:rFonts w:ascii="仿宋_GB2312" w:hAnsi="仿宋_GB2312" w:cs="仿宋_GB2312" w:eastAsia="仿宋_GB2312"/>
        </w:rPr>
        <w:t>8、具有履行合同所必需的设备和专业技术能力：提供具有履行合同所必需的设备和专业技术能力声明。</w:t>
      </w:r>
    </w:p>
    <w:p>
      <w:pPr>
        <w:pStyle w:val="null3"/>
      </w:pPr>
      <w:r>
        <w:rPr>
          <w:rFonts w:ascii="仿宋_GB2312" w:hAnsi="仿宋_GB2312" w:cs="仿宋_GB2312" w:eastAsia="仿宋_GB2312"/>
        </w:rPr>
        <w:t>9、法定代表人授权委托书：法定代表人参加投标的，须提供本人身份证复印件(附在资格证明资料中)；法定代表人（主要负责人）委托代理人参加投标时，应提供法定代表人（主要负责人）委托授权书及代理人本单位证明（响应文件提交截止日前六个月内任意一个月社会保险缴纳证明）。磋商响应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10、联合体要求：本项目不接受联合体投标，不允许分包：供应商应提供《非联合体不分包投标声明》，视为独立投标，不分包。</w:t>
      </w:r>
    </w:p>
    <w:p>
      <w:pPr>
        <w:pStyle w:val="null3"/>
      </w:pPr>
      <w:r>
        <w:rPr>
          <w:rFonts w:ascii="仿宋_GB2312" w:hAnsi="仿宋_GB2312" w:cs="仿宋_GB2312" w:eastAsia="仿宋_GB2312"/>
        </w:rPr>
        <w:t>11、医疗器械注册证或备案凭证：供应商须提供拟投产品有效的医疗器械注册证或备案凭证。</w:t>
      </w:r>
    </w:p>
    <w:p>
      <w:pPr>
        <w:pStyle w:val="null3"/>
      </w:pPr>
      <w:r>
        <w:rPr>
          <w:rFonts w:ascii="仿宋_GB2312" w:hAnsi="仿宋_GB2312" w:cs="仿宋_GB2312" w:eastAsia="仿宋_GB2312"/>
        </w:rPr>
        <w:t>12、许可证：若投标人为制造厂家，应出具医疗器械生产许可证（拟投医疗器械须在其生产范围内）；若投标人为经销商，应出具医疗器械经营许可证（或备案凭证），以及拟投医疗器械制造厂家的医疗器械生产许可证（投标产品须在其生产范围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西安市未央区辛家庙社区卫生服务中心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西安市未央区辛家庙社区卫生服务中心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岳淙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029-86352203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陕西德欣源项目管理有限公司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陕西省西安市经济技术开发区文景路一方中港国际B座1701室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029-86109738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采购包1：725,000.00元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计委印发的《招标代理服务收费管理暂行办法》（计价格[2002]1980号）和国家发展和改革委员会办公厅印发的《关于招标代理服务收费有关问题的通知》（发改办价格[2003]857号）的相关规定收取。具体收费金额将在成交结果公告中公布。 代理服务费缴纳信息： 银行户名：陕西德欣源项目管理有限公司 开户银行：中国建设银行股份有限公司西安凤城七路支行 账号：61050110309109999888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西安市未央区辛家庙社区卫生服务中心</w:t>
      </w:r>
      <w:r>
        <w:rPr>
          <w:rFonts w:ascii="仿宋_GB2312" w:hAnsi="仿宋_GB2312" w:cs="仿宋_GB2312" w:eastAsia="仿宋_GB2312"/>
        </w:rPr>
        <w:t>和</w:t>
      </w:r>
      <w:r>
        <w:rPr>
          <w:rFonts w:ascii="仿宋_GB2312" w:hAnsi="仿宋_GB2312" w:cs="仿宋_GB2312" w:eastAsia="仿宋_GB2312"/>
        </w:rPr>
        <w:t>陕西德欣源项目管理有限公司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西安市未央区辛家庙社区卫生服务中心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陕西德欣源项目管理有限公司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陕西德欣源项目管理有限公司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货物到达交货地点后，由成交供应商配合采购单位根据合同对货物（设备）的名称、品牌、规格、型号、产地、数量等进行检查，货物安装调试（包括机械部件组装、电气连接、系统参数设置、影像质量校准等工作），设备调试正常后，按照区数据和行政审批服务局流程申请进行医疗机构放射性职业病危害建设项目竣工验收。验收通过后，方可正式投入临床使用。设备从通过验收之日起进入保修期，提供原厂保修升级。 （2）货物（产品）验收依据：合同文本及合同补充文件（条款），磋商文件，磋商响应文件，国家相应的标准、规范等。上述依据互为补充，各文件约定不一致的，若无补充协议对适用规则作出约定的前提下，则以产生顺序最新的优先适用。适用时间规则仍不能确定如何适用的，以采购人意见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陕西德欣源项目管理有限公司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陕西德欣源项目管理有限公司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陕西德欣源项目管理有限公司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联系人：王玉</w:t>
      </w:r>
    </w:p>
    <w:p>
      <w:pPr>
        <w:pStyle w:val="null3"/>
      </w:pPr>
      <w:r>
        <w:rPr>
          <w:rFonts w:ascii="仿宋_GB2312" w:hAnsi="仿宋_GB2312" w:cs="仿宋_GB2312" w:eastAsia="仿宋_GB2312"/>
        </w:rPr>
        <w:t>联系电话：029-86109738</w:t>
      </w:r>
    </w:p>
    <w:p>
      <w:pPr>
        <w:pStyle w:val="null3"/>
      </w:pPr>
      <w:r>
        <w:rPr>
          <w:rFonts w:ascii="仿宋_GB2312" w:hAnsi="仿宋_GB2312" w:cs="仿宋_GB2312" w:eastAsia="仿宋_GB2312"/>
        </w:rPr>
        <w:t>地址：陕西省西安市经济技术开发区文景路一方中港国际B座1701室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为保障中心医疗工作正常开展，本项目采购数字化透视摄影X射线机，用于胸部、腹部、四肢骨骼系统立位、卧位摄影，诊断骨折、肺部疾病、腹部病变等常见检查。</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725,000.00</w:t>
      </w:r>
    </w:p>
    <w:p>
      <w:pPr>
        <w:pStyle w:val="null3"/>
      </w:pPr>
      <w:r>
        <w:rPr>
          <w:rFonts w:ascii="仿宋_GB2312" w:hAnsi="仿宋_GB2312" w:cs="仿宋_GB2312" w:eastAsia="仿宋_GB2312"/>
        </w:rPr>
        <w:t>采购包最高限价（元）: 725,000.00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数字化透视摄影X射线机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725,000.00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标的名称：数字化透视摄影X射线机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left"/>
            </w:pPr>
            <w:r>
              <w:rPr>
                <w:rFonts w:ascii="仿宋_GB2312" w:hAnsi="仿宋_GB2312" w:cs="仿宋_GB2312" w:eastAsia="仿宋_GB2312"/>
                <w:sz w:val="24"/>
                <w:b/>
              </w:rPr>
              <w:t>一、</w:t>
            </w:r>
            <w:r>
              <w:rPr>
                <w:rFonts w:ascii="仿宋_GB2312" w:hAnsi="仿宋_GB2312" w:cs="仿宋_GB2312" w:eastAsia="仿宋_GB2312"/>
                <w:sz w:val="24"/>
                <w:b/>
              </w:rPr>
              <w:t>产品名称及数量：数字化透视摄影</w:t>
            </w:r>
            <w:r>
              <w:rPr>
                <w:rFonts w:ascii="仿宋_GB2312" w:hAnsi="仿宋_GB2312" w:cs="仿宋_GB2312" w:eastAsia="仿宋_GB2312"/>
                <w:sz w:val="24"/>
                <w:b/>
              </w:rPr>
              <w:t>X射线机一套（核心产品）</w:t>
            </w:r>
            <w:r>
              <w:rPr>
                <w:rFonts w:ascii="仿宋_GB2312" w:hAnsi="仿宋_GB2312" w:cs="仿宋_GB2312" w:eastAsia="仿宋_GB2312"/>
                <w:sz w:val="24"/>
              </w:rPr>
              <w:t>。</w:t>
            </w:r>
          </w:p>
          <w:p>
            <w:pPr>
              <w:pStyle w:val="null3"/>
              <w:spacing w:before="105" w:after="105"/>
              <w:ind w:firstLine="400"/>
              <w:jc w:val="left"/>
            </w:pPr>
            <w:r>
              <w:rPr>
                <w:rFonts w:ascii="仿宋_GB2312" w:hAnsi="仿宋_GB2312" w:cs="仿宋_GB2312" w:eastAsia="仿宋_GB2312"/>
                <w:sz w:val="24"/>
              </w:rPr>
              <w:t>本项目计划采购的设备均选用当前市场主流配置，整机采用双立柱机架结构，能进行人体全身各部位的立位、卧位、水平侧位等</w:t>
            </w:r>
            <w:r>
              <w:rPr>
                <w:rFonts w:ascii="仿宋_GB2312" w:hAnsi="仿宋_GB2312" w:cs="仿宋_GB2312" w:eastAsia="仿宋_GB2312"/>
                <w:sz w:val="24"/>
              </w:rPr>
              <w:t>X线影像学检查，实现X线数字成像，存贮管理及打印胶片处理功能。在满足社区卫生服务中心临床需求的前提下，兼顾技术先进性、可靠性和经济性。所有设备选型均符合国家医疗器械注册标准和放射防护要求。具体设备参数要求如下</w:t>
            </w:r>
          </w:p>
          <w:p>
            <w:pPr>
              <w:pStyle w:val="null3"/>
              <w:spacing w:before="105" w:after="105"/>
              <w:jc w:val="left"/>
            </w:pPr>
            <w:r>
              <w:rPr>
                <w:rFonts w:ascii="仿宋_GB2312" w:hAnsi="仿宋_GB2312" w:cs="仿宋_GB2312" w:eastAsia="仿宋_GB2312"/>
                <w:sz w:val="24"/>
                <w:b/>
              </w:rPr>
              <w:t>二、设备参数要求</w:t>
            </w:r>
          </w:p>
          <w:tbl>
            <w:tblPr>
              <w:tblInd w:type="dxa" w:w="120"/>
              <w:tblBorders>
                <w:top w:val="none" w:color="000000" w:sz="4"/>
                <w:left w:val="none" w:color="000000" w:sz="4"/>
                <w:bottom w:val="none" w:color="000000" w:sz="4"/>
                <w:right w:val="none" w:color="000000" w:sz="4"/>
                <w:insideH w:val="none"/>
                <w:insideV w:val="none"/>
              </w:tblBorders>
            </w:tblPr>
            <w:tblGrid>
              <w:gridCol w:w="311"/>
              <w:gridCol w:w="2236"/>
            </w:tblGrid>
            <w:tr>
              <w:tc>
                <w:tcPr>
                  <w:tcW w:type="dxa" w:w="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b/>
                    </w:rPr>
                    <w:t>序号</w:t>
                  </w:r>
                </w:p>
              </w:tc>
              <w:tc>
                <w:tcPr>
                  <w:tcW w:type="dxa" w:w="2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b/>
                    </w:rPr>
                    <w:t>设备参数和性能要求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b/>
                    </w:rPr>
                    <w:t>1</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b/>
                    </w:rPr>
                    <w:t>功能及基本商务要求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1.1</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采购设备为透视摄影</w:t>
                  </w:r>
                  <w:r>
                    <w:rPr>
                      <w:rFonts w:ascii="仿宋_GB2312" w:hAnsi="仿宋_GB2312" w:cs="仿宋_GB2312" w:eastAsia="仿宋_GB2312"/>
                      <w:sz w:val="21"/>
                    </w:rPr>
                    <w:t>X</w:t>
                  </w:r>
                  <w:r>
                    <w:rPr>
                      <w:rFonts w:ascii="仿宋_GB2312" w:hAnsi="仿宋_GB2312" w:cs="仿宋_GB2312" w:eastAsia="仿宋_GB2312"/>
                      <w:sz w:val="21"/>
                    </w:rPr>
                    <w:t>射线机</w:t>
                  </w:r>
                  <w:r>
                    <w:rPr>
                      <w:rFonts w:ascii="仿宋_GB2312" w:hAnsi="仿宋_GB2312" w:cs="仿宋_GB2312" w:eastAsia="仿宋_GB2312"/>
                      <w:sz w:val="21"/>
                    </w:rPr>
                    <w:t>,</w:t>
                  </w:r>
                  <w:r>
                    <w:rPr>
                      <w:rFonts w:ascii="仿宋_GB2312" w:hAnsi="仿宋_GB2312" w:cs="仿宋_GB2312" w:eastAsia="仿宋_GB2312"/>
                      <w:sz w:val="21"/>
                    </w:rPr>
                    <w:t>用于完成全身各部位、各体位、各角度的拍片检查。</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1.2</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为保证整机兼容及售后保障，投标产品配备的高压发生器、平板探测器为同一制造商</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b/>
                    </w:rPr>
                    <w:t>2</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b/>
                    </w:rPr>
                    <w:t>主要技术规格和要求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b/>
                    </w:rPr>
                    <w:t>2.1</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b/>
                    </w:rPr>
                    <w:t>X</w:t>
                  </w:r>
                  <w:r>
                    <w:rPr>
                      <w:rFonts w:ascii="仿宋_GB2312" w:hAnsi="仿宋_GB2312" w:cs="仿宋_GB2312" w:eastAsia="仿宋_GB2312"/>
                      <w:sz w:val="21"/>
                      <w:b/>
                    </w:rPr>
                    <w:t>线球管及支架系统</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2.1.1</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落地式一体化机械结构</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2.1.2</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大焦点尺寸</w:t>
                  </w:r>
                  <w:r>
                    <w:rPr>
                      <w:rFonts w:ascii="仿宋_GB2312" w:hAnsi="仿宋_GB2312" w:cs="仿宋_GB2312" w:eastAsia="仿宋_GB2312"/>
                      <w:sz w:val="21"/>
                    </w:rPr>
                    <w:t>≤</w:t>
                  </w:r>
                  <w:r>
                    <w:rPr>
                      <w:rFonts w:ascii="仿宋_GB2312" w:hAnsi="仿宋_GB2312" w:cs="仿宋_GB2312" w:eastAsia="仿宋_GB2312"/>
                      <w:sz w:val="21"/>
                    </w:rPr>
                    <w:t>1.2mm</w:t>
                  </w:r>
                  <w:r>
                    <w:rPr>
                      <w:rFonts w:ascii="仿宋_GB2312" w:hAnsi="仿宋_GB2312" w:cs="仿宋_GB2312" w:eastAsia="仿宋_GB2312"/>
                      <w:sz w:val="21"/>
                    </w:rPr>
                    <w:t>，小焦点尺寸</w:t>
                  </w:r>
                  <w:r>
                    <w:rPr>
                      <w:rFonts w:ascii="仿宋_GB2312" w:hAnsi="仿宋_GB2312" w:cs="仿宋_GB2312" w:eastAsia="仿宋_GB2312"/>
                      <w:sz w:val="21"/>
                    </w:rPr>
                    <w:t>≤</w:t>
                  </w:r>
                  <w:r>
                    <w:rPr>
                      <w:rFonts w:ascii="仿宋_GB2312" w:hAnsi="仿宋_GB2312" w:cs="仿宋_GB2312" w:eastAsia="仿宋_GB2312"/>
                      <w:sz w:val="21"/>
                    </w:rPr>
                    <w:t>0.6mm</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2.1.3</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阳极热容量</w:t>
                  </w:r>
                  <w:r>
                    <w:rPr>
                      <w:rFonts w:ascii="仿宋_GB2312" w:hAnsi="仿宋_GB2312" w:cs="仿宋_GB2312" w:eastAsia="仿宋_GB2312"/>
                      <w:sz w:val="21"/>
                    </w:rPr>
                    <w:t>≥</w:t>
                  </w:r>
                  <w:r>
                    <w:rPr>
                      <w:rFonts w:ascii="仿宋_GB2312" w:hAnsi="仿宋_GB2312" w:cs="仿宋_GB2312" w:eastAsia="仿宋_GB2312"/>
                      <w:sz w:val="21"/>
                    </w:rPr>
                    <w:t>350KHU</w:t>
                  </w:r>
                  <w:r>
                    <w:rPr>
                      <w:rFonts w:ascii="仿宋_GB2312" w:hAnsi="仿宋_GB2312" w:cs="仿宋_GB2312" w:eastAsia="仿宋_GB2312"/>
                      <w:sz w:val="24"/>
                    </w:rPr>
                    <w:t xml:space="preserve">  </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2.1.4</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阳极旋转速度</w:t>
                  </w:r>
                  <w:r>
                    <w:rPr>
                      <w:rFonts w:ascii="仿宋_GB2312" w:hAnsi="仿宋_GB2312" w:cs="仿宋_GB2312" w:eastAsia="仿宋_GB2312"/>
                      <w:sz w:val="21"/>
                    </w:rPr>
                    <w:t>≥</w:t>
                  </w:r>
                  <w:r>
                    <w:rPr>
                      <w:rFonts w:ascii="仿宋_GB2312" w:hAnsi="仿宋_GB2312" w:cs="仿宋_GB2312" w:eastAsia="仿宋_GB2312"/>
                      <w:sz w:val="21"/>
                    </w:rPr>
                    <w:t>10000rpm</w:t>
                  </w:r>
                  <w:r>
                    <w:rPr>
                      <w:rFonts w:ascii="仿宋_GB2312" w:hAnsi="仿宋_GB2312" w:cs="仿宋_GB2312" w:eastAsia="仿宋_GB2312"/>
                      <w:sz w:val="24"/>
                    </w:rPr>
                    <w:t xml:space="preserve"> </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2.1.5</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球管绕垂直轴旋转</w:t>
                  </w:r>
                  <w:r>
                    <w:rPr>
                      <w:rFonts w:ascii="仿宋_GB2312" w:hAnsi="仿宋_GB2312" w:cs="仿宋_GB2312" w:eastAsia="仿宋_GB2312"/>
                      <w:sz w:val="21"/>
                    </w:rPr>
                    <w:t>≥</w:t>
                  </w:r>
                  <w:r>
                    <w:rPr>
                      <w:rFonts w:ascii="仿宋_GB2312" w:hAnsi="仿宋_GB2312" w:cs="仿宋_GB2312" w:eastAsia="仿宋_GB2312"/>
                      <w:sz w:val="21"/>
                    </w:rPr>
                    <w:t>-90</w:t>
                  </w:r>
                  <w:r>
                    <w:rPr>
                      <w:rFonts w:ascii="仿宋_GB2312" w:hAnsi="仿宋_GB2312" w:cs="仿宋_GB2312" w:eastAsia="仿宋_GB2312"/>
                      <w:sz w:val="21"/>
                    </w:rPr>
                    <w:t xml:space="preserve">º— </w:t>
                  </w:r>
                  <w:r>
                    <w:rPr>
                      <w:rFonts w:ascii="仿宋_GB2312" w:hAnsi="仿宋_GB2312" w:cs="仿宋_GB2312" w:eastAsia="仿宋_GB2312"/>
                      <w:sz w:val="21"/>
                    </w:rPr>
                    <w:t>+180</w:t>
                  </w:r>
                  <w:r>
                    <w:rPr>
                      <w:rFonts w:ascii="仿宋_GB2312" w:hAnsi="仿宋_GB2312" w:cs="仿宋_GB2312" w:eastAsia="仿宋_GB2312"/>
                      <w:sz w:val="21"/>
                    </w:rPr>
                    <w:t>º</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2.1.6</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球管绕水平轴旋转</w:t>
                  </w:r>
                  <w:r>
                    <w:rPr>
                      <w:rFonts w:ascii="仿宋_GB2312" w:hAnsi="仿宋_GB2312" w:cs="仿宋_GB2312" w:eastAsia="仿宋_GB2312"/>
                      <w:sz w:val="21"/>
                    </w:rPr>
                    <w:t>≥±</w:t>
                  </w:r>
                  <w:r>
                    <w:rPr>
                      <w:rFonts w:ascii="仿宋_GB2312" w:hAnsi="仿宋_GB2312" w:cs="仿宋_GB2312" w:eastAsia="仿宋_GB2312"/>
                      <w:sz w:val="21"/>
                    </w:rPr>
                    <w:t>120</w:t>
                  </w:r>
                  <w:r>
                    <w:rPr>
                      <w:rFonts w:ascii="仿宋_GB2312" w:hAnsi="仿宋_GB2312" w:cs="仿宋_GB2312" w:eastAsia="仿宋_GB2312"/>
                      <w:sz w:val="21"/>
                    </w:rPr>
                    <w:t>º</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2.1.7</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系统沿摄影床纵向移动距离</w:t>
                  </w:r>
                  <w:r>
                    <w:rPr>
                      <w:rFonts w:ascii="仿宋_GB2312" w:hAnsi="仿宋_GB2312" w:cs="仿宋_GB2312" w:eastAsia="仿宋_GB2312"/>
                      <w:sz w:val="21"/>
                    </w:rPr>
                    <w:t>≥</w:t>
                  </w:r>
                  <w:r>
                    <w:rPr>
                      <w:rFonts w:ascii="仿宋_GB2312" w:hAnsi="仿宋_GB2312" w:cs="仿宋_GB2312" w:eastAsia="仿宋_GB2312"/>
                      <w:sz w:val="21"/>
                    </w:rPr>
                    <w:t>2200mm</w:t>
                  </w:r>
                  <w:r>
                    <w:rPr>
                      <w:rFonts w:ascii="仿宋_GB2312" w:hAnsi="仿宋_GB2312" w:cs="仿宋_GB2312" w:eastAsia="仿宋_GB2312"/>
                      <w:sz w:val="21"/>
                    </w:rPr>
                    <w:t>（需提供证明材料）</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2.1.8</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X</w:t>
                  </w:r>
                  <w:r>
                    <w:rPr>
                      <w:rFonts w:ascii="仿宋_GB2312" w:hAnsi="仿宋_GB2312" w:cs="仿宋_GB2312" w:eastAsia="仿宋_GB2312"/>
                      <w:sz w:val="21"/>
                    </w:rPr>
                    <w:t>线球管组件与平板探测器组件具有自动跟随功能</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b/>
                    </w:rPr>
                    <w:t>2.2</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b/>
                    </w:rPr>
                    <w:t>高压发生器</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2.2.1</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标称功率</w:t>
                  </w:r>
                  <w:r>
                    <w:rPr>
                      <w:rFonts w:ascii="仿宋_GB2312" w:hAnsi="仿宋_GB2312" w:cs="仿宋_GB2312" w:eastAsia="仿宋_GB2312"/>
                      <w:sz w:val="21"/>
                    </w:rPr>
                    <w:t>≥</w:t>
                  </w:r>
                  <w:r>
                    <w:rPr>
                      <w:rFonts w:ascii="仿宋_GB2312" w:hAnsi="仿宋_GB2312" w:cs="仿宋_GB2312" w:eastAsia="仿宋_GB2312"/>
                      <w:sz w:val="21"/>
                    </w:rPr>
                    <w:t>71KW</w:t>
                  </w:r>
                  <w:r>
                    <w:rPr>
                      <w:rFonts w:ascii="仿宋_GB2312" w:hAnsi="仿宋_GB2312" w:cs="仿宋_GB2312" w:eastAsia="仿宋_GB2312"/>
                      <w:sz w:val="21"/>
                    </w:rPr>
                    <w:t>（需提供证明材料）</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2.2.2</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千伏范围</w:t>
                  </w:r>
                  <w:r>
                    <w:rPr>
                      <w:rFonts w:ascii="仿宋_GB2312" w:hAnsi="仿宋_GB2312" w:cs="仿宋_GB2312" w:eastAsia="仿宋_GB2312"/>
                      <w:sz w:val="21"/>
                    </w:rPr>
                    <w:t>:40</w:t>
                  </w:r>
                  <w:r>
                    <w:rPr>
                      <w:rFonts w:ascii="仿宋_GB2312" w:hAnsi="仿宋_GB2312" w:cs="仿宋_GB2312" w:eastAsia="仿宋_GB2312"/>
                      <w:sz w:val="21"/>
                    </w:rPr>
                    <w:t>—</w:t>
                  </w:r>
                  <w:r>
                    <w:rPr>
                      <w:rFonts w:ascii="仿宋_GB2312" w:hAnsi="仿宋_GB2312" w:cs="仿宋_GB2312" w:eastAsia="仿宋_GB2312"/>
                      <w:sz w:val="21"/>
                    </w:rPr>
                    <w:t>150KV</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2.2.3</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APR</w:t>
                  </w:r>
                  <w:r>
                    <w:rPr>
                      <w:rFonts w:ascii="仿宋_GB2312" w:hAnsi="仿宋_GB2312" w:cs="仿宋_GB2312" w:eastAsia="仿宋_GB2312"/>
                      <w:sz w:val="21"/>
                    </w:rPr>
                    <w:t>功能及手动调节设置</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2.2.4</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曝光时间范围：</w:t>
                  </w:r>
                  <w:r>
                    <w:rPr>
                      <w:rFonts w:ascii="仿宋_GB2312" w:hAnsi="仿宋_GB2312" w:cs="仿宋_GB2312" w:eastAsia="仿宋_GB2312"/>
                      <w:sz w:val="21"/>
                    </w:rPr>
                    <w:t>最短系统曝光时间</w:t>
                  </w:r>
                  <w:r>
                    <w:rPr>
                      <w:rFonts w:ascii="仿宋_GB2312" w:hAnsi="仿宋_GB2312" w:cs="仿宋_GB2312" w:eastAsia="仿宋_GB2312"/>
                      <w:sz w:val="21"/>
                    </w:rPr>
                    <w:t>≤</w:t>
                  </w:r>
                  <w:r>
                    <w:rPr>
                      <w:rFonts w:ascii="仿宋_GB2312" w:hAnsi="仿宋_GB2312" w:cs="仿宋_GB2312" w:eastAsia="仿宋_GB2312"/>
                      <w:sz w:val="21"/>
                    </w:rPr>
                    <w:t>1ms</w:t>
                  </w:r>
                  <w:r>
                    <w:rPr>
                      <w:rFonts w:ascii="仿宋_GB2312" w:hAnsi="仿宋_GB2312" w:cs="仿宋_GB2312" w:eastAsia="仿宋_GB2312"/>
                      <w:sz w:val="21"/>
                    </w:rPr>
                    <w:t>，最长系统曝光时间</w:t>
                  </w:r>
                  <w:r>
                    <w:rPr>
                      <w:rFonts w:ascii="仿宋_GB2312" w:hAnsi="仿宋_GB2312" w:cs="仿宋_GB2312" w:eastAsia="仿宋_GB2312"/>
                      <w:sz w:val="21"/>
                    </w:rPr>
                    <w:t>≥</w:t>
                  </w:r>
                  <w:r>
                    <w:rPr>
                      <w:rFonts w:ascii="仿宋_GB2312" w:hAnsi="仿宋_GB2312" w:cs="仿宋_GB2312" w:eastAsia="仿宋_GB2312"/>
                      <w:sz w:val="21"/>
                    </w:rPr>
                    <w:t>10s</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2.2.5</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最大输出电流</w:t>
                  </w:r>
                  <w:r>
                    <w:rPr>
                      <w:rFonts w:ascii="仿宋_GB2312" w:hAnsi="仿宋_GB2312" w:cs="仿宋_GB2312" w:eastAsia="仿宋_GB2312"/>
                      <w:sz w:val="21"/>
                    </w:rPr>
                    <w:t>≥</w:t>
                  </w:r>
                  <w:r>
                    <w:rPr>
                      <w:rFonts w:ascii="仿宋_GB2312" w:hAnsi="仿宋_GB2312" w:cs="仿宋_GB2312" w:eastAsia="仿宋_GB2312"/>
                      <w:sz w:val="21"/>
                    </w:rPr>
                    <w:t>800mA</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2.2.6</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最小电流时间积</w:t>
                  </w:r>
                  <w:r>
                    <w:rPr>
                      <w:rFonts w:ascii="仿宋_GB2312" w:hAnsi="仿宋_GB2312" w:cs="仿宋_GB2312" w:eastAsia="仿宋_GB2312"/>
                      <w:sz w:val="21"/>
                    </w:rPr>
                    <w:t>≤</w:t>
                  </w:r>
                  <w:r>
                    <w:rPr>
                      <w:rFonts w:ascii="仿宋_GB2312" w:hAnsi="仿宋_GB2312" w:cs="仿宋_GB2312" w:eastAsia="仿宋_GB2312"/>
                      <w:sz w:val="21"/>
                    </w:rPr>
                    <w:t>0.1mAs</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2.2.7</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最大电流时间积</w:t>
                  </w:r>
                  <w:r>
                    <w:rPr>
                      <w:rFonts w:ascii="仿宋_GB2312" w:hAnsi="仿宋_GB2312" w:cs="仿宋_GB2312" w:eastAsia="仿宋_GB2312"/>
                      <w:sz w:val="21"/>
                    </w:rPr>
                    <w:t>≥</w:t>
                  </w:r>
                  <w:r>
                    <w:rPr>
                      <w:rFonts w:ascii="仿宋_GB2312" w:hAnsi="仿宋_GB2312" w:cs="仿宋_GB2312" w:eastAsia="仿宋_GB2312"/>
                      <w:sz w:val="21"/>
                    </w:rPr>
                    <w:t>980mAs</w:t>
                  </w:r>
                  <w:r>
                    <w:rPr>
                      <w:rFonts w:ascii="仿宋_GB2312" w:hAnsi="仿宋_GB2312" w:cs="仿宋_GB2312" w:eastAsia="仿宋_GB2312"/>
                      <w:sz w:val="24"/>
                    </w:rPr>
                    <w:t xml:space="preserve"> </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2.2.8</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透视管电压</w:t>
                  </w:r>
                  <w:r>
                    <w:rPr>
                      <w:rFonts w:ascii="仿宋_GB2312" w:hAnsi="仿宋_GB2312" w:cs="仿宋_GB2312" w:eastAsia="仿宋_GB2312"/>
                      <w:sz w:val="21"/>
                    </w:rPr>
                    <w:t>≥</w:t>
                  </w:r>
                  <w:r>
                    <w:rPr>
                      <w:rFonts w:ascii="仿宋_GB2312" w:hAnsi="仿宋_GB2312" w:cs="仿宋_GB2312" w:eastAsia="仿宋_GB2312"/>
                      <w:sz w:val="21"/>
                    </w:rPr>
                    <w:t>40~125KV</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2.2.9</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最大透视管电流</w:t>
                  </w:r>
                  <w:r>
                    <w:rPr>
                      <w:rFonts w:ascii="仿宋_GB2312" w:hAnsi="仿宋_GB2312" w:cs="仿宋_GB2312" w:eastAsia="仿宋_GB2312"/>
                      <w:sz w:val="21"/>
                    </w:rPr>
                    <w:t>≥</w:t>
                  </w:r>
                  <w:r>
                    <w:rPr>
                      <w:rFonts w:ascii="仿宋_GB2312" w:hAnsi="仿宋_GB2312" w:cs="仿宋_GB2312" w:eastAsia="仿宋_GB2312"/>
                      <w:sz w:val="21"/>
                    </w:rPr>
                    <w:t>40mA</w:t>
                  </w:r>
                  <w:r>
                    <w:rPr>
                      <w:rFonts w:ascii="仿宋_GB2312" w:hAnsi="仿宋_GB2312" w:cs="仿宋_GB2312" w:eastAsia="仿宋_GB2312"/>
                      <w:sz w:val="21"/>
                    </w:rPr>
                    <w:t>（需提供检验报告证明）</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2.2.10</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逆变频率</w:t>
                  </w:r>
                  <w:r>
                    <w:rPr>
                      <w:rFonts w:ascii="仿宋_GB2312" w:hAnsi="仿宋_GB2312" w:cs="仿宋_GB2312" w:eastAsia="仿宋_GB2312"/>
                      <w:sz w:val="21"/>
                    </w:rPr>
                    <w:t>≥</w:t>
                  </w:r>
                  <w:r>
                    <w:rPr>
                      <w:rFonts w:ascii="仿宋_GB2312" w:hAnsi="仿宋_GB2312" w:cs="仿宋_GB2312" w:eastAsia="仿宋_GB2312"/>
                      <w:sz w:val="21"/>
                    </w:rPr>
                    <w:t>500kHz</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2.2.11</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具备自动透视功能</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2.2.12</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具备自动曝光控制功能</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b/>
                    </w:rPr>
                    <w:t>2.3</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b/>
                    </w:rPr>
                    <w:t>无线平板探测器</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2.3.1</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探测器尺寸</w:t>
                  </w:r>
                  <w:r>
                    <w:rPr>
                      <w:rFonts w:ascii="仿宋_GB2312" w:hAnsi="仿宋_GB2312" w:cs="仿宋_GB2312" w:eastAsia="仿宋_GB2312"/>
                      <w:sz w:val="21"/>
                    </w:rPr>
                    <w:t>≥</w:t>
                  </w:r>
                  <w:r>
                    <w:rPr>
                      <w:rFonts w:ascii="仿宋_GB2312" w:hAnsi="仿宋_GB2312" w:cs="仿宋_GB2312" w:eastAsia="仿宋_GB2312"/>
                      <w:sz w:val="21"/>
                    </w:rPr>
                    <w:t>420mm</w:t>
                  </w:r>
                  <w:r>
                    <w:rPr>
                      <w:rFonts w:ascii="仿宋_GB2312" w:hAnsi="仿宋_GB2312" w:cs="仿宋_GB2312" w:eastAsia="仿宋_GB2312"/>
                      <w:sz w:val="21"/>
                    </w:rPr>
                    <w:t>×</w:t>
                  </w:r>
                  <w:r>
                    <w:rPr>
                      <w:rFonts w:ascii="仿宋_GB2312" w:hAnsi="仿宋_GB2312" w:cs="仿宋_GB2312" w:eastAsia="仿宋_GB2312"/>
                      <w:sz w:val="21"/>
                    </w:rPr>
                    <w:t>420mm</w:t>
                  </w:r>
                  <w:r>
                    <w:rPr>
                      <w:rFonts w:ascii="仿宋_GB2312" w:hAnsi="仿宋_GB2312" w:cs="仿宋_GB2312" w:eastAsia="仿宋_GB2312"/>
                      <w:sz w:val="24"/>
                    </w:rPr>
                    <w:t xml:space="preserve"> </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2.3.2</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像素尺寸</w:t>
                  </w:r>
                  <w:r>
                    <w:rPr>
                      <w:rFonts w:ascii="仿宋_GB2312" w:hAnsi="仿宋_GB2312" w:cs="仿宋_GB2312" w:eastAsia="仿宋_GB2312"/>
                      <w:sz w:val="21"/>
                    </w:rPr>
                    <w:t>≤</w:t>
                  </w:r>
                  <w:r>
                    <w:rPr>
                      <w:rFonts w:ascii="仿宋_GB2312" w:hAnsi="仿宋_GB2312" w:cs="仿宋_GB2312" w:eastAsia="仿宋_GB2312"/>
                      <w:sz w:val="21"/>
                    </w:rPr>
                    <w:t>139um</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2.3.3</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采集灰阶度</w:t>
                  </w:r>
                  <w:r>
                    <w:rPr>
                      <w:rFonts w:ascii="仿宋_GB2312" w:hAnsi="仿宋_GB2312" w:cs="仿宋_GB2312" w:eastAsia="仿宋_GB2312"/>
                      <w:sz w:val="21"/>
                    </w:rPr>
                    <w:t>≥</w:t>
                  </w:r>
                  <w:r>
                    <w:rPr>
                      <w:rFonts w:ascii="仿宋_GB2312" w:hAnsi="仿宋_GB2312" w:cs="仿宋_GB2312" w:eastAsia="仿宋_GB2312"/>
                      <w:sz w:val="21"/>
                    </w:rPr>
                    <w:t>16bits</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2.3.4</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空间分辨率</w:t>
                  </w:r>
                  <w:r>
                    <w:rPr>
                      <w:rFonts w:ascii="仿宋_GB2312" w:hAnsi="仿宋_GB2312" w:cs="仿宋_GB2312" w:eastAsia="仿宋_GB2312"/>
                      <w:sz w:val="21"/>
                    </w:rPr>
                    <w:t>≥</w:t>
                  </w:r>
                  <w:r>
                    <w:rPr>
                      <w:rFonts w:ascii="仿宋_GB2312" w:hAnsi="仿宋_GB2312" w:cs="仿宋_GB2312" w:eastAsia="仿宋_GB2312"/>
                      <w:sz w:val="21"/>
                    </w:rPr>
                    <w:t>3.7lp/mm</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2.3.5</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采集距阵</w:t>
                  </w:r>
                  <w:r>
                    <w:rPr>
                      <w:rFonts w:ascii="仿宋_GB2312" w:hAnsi="仿宋_GB2312" w:cs="仿宋_GB2312" w:eastAsia="仿宋_GB2312"/>
                      <w:sz w:val="21"/>
                    </w:rPr>
                    <w:t>≥</w:t>
                  </w:r>
                  <w:r>
                    <w:rPr>
                      <w:rFonts w:ascii="仿宋_GB2312" w:hAnsi="仿宋_GB2312" w:cs="仿宋_GB2312" w:eastAsia="仿宋_GB2312"/>
                      <w:sz w:val="21"/>
                    </w:rPr>
                    <w:t>3000</w:t>
                  </w:r>
                  <w:r>
                    <w:rPr>
                      <w:rFonts w:ascii="仿宋_GB2312" w:hAnsi="仿宋_GB2312" w:cs="仿宋_GB2312" w:eastAsia="仿宋_GB2312"/>
                      <w:sz w:val="21"/>
                    </w:rPr>
                    <w:t>×</w:t>
                  </w:r>
                  <w:r>
                    <w:rPr>
                      <w:rFonts w:ascii="仿宋_GB2312" w:hAnsi="仿宋_GB2312" w:cs="仿宋_GB2312" w:eastAsia="仿宋_GB2312"/>
                      <w:sz w:val="21"/>
                    </w:rPr>
                    <w:t>3000</w:t>
                  </w:r>
                  <w:r>
                    <w:rPr>
                      <w:rFonts w:ascii="仿宋_GB2312" w:hAnsi="仿宋_GB2312" w:cs="仿宋_GB2312" w:eastAsia="仿宋_GB2312"/>
                      <w:sz w:val="24"/>
                    </w:rPr>
                    <w:t xml:space="preserve">    </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2.3.6</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DQE</w:t>
                  </w:r>
                  <w:r>
                    <w:rPr>
                      <w:rFonts w:ascii="仿宋_GB2312" w:hAnsi="仿宋_GB2312" w:cs="仿宋_GB2312" w:eastAsia="仿宋_GB2312"/>
                      <w:sz w:val="21"/>
                    </w:rPr>
                    <w:t>≥</w:t>
                  </w:r>
                  <w:r>
                    <w:rPr>
                      <w:rFonts w:ascii="仿宋_GB2312" w:hAnsi="仿宋_GB2312" w:cs="仿宋_GB2312" w:eastAsia="仿宋_GB2312"/>
                      <w:sz w:val="21"/>
                    </w:rPr>
                    <w:t>70%</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2.3.7</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成像时间</w:t>
                  </w:r>
                  <w:r>
                    <w:rPr>
                      <w:rFonts w:ascii="仿宋_GB2312" w:hAnsi="仿宋_GB2312" w:cs="仿宋_GB2312" w:eastAsia="仿宋_GB2312"/>
                      <w:sz w:val="21"/>
                    </w:rPr>
                    <w:t>≤</w:t>
                  </w:r>
                  <w:r>
                    <w:rPr>
                      <w:rFonts w:ascii="仿宋_GB2312" w:hAnsi="仿宋_GB2312" w:cs="仿宋_GB2312" w:eastAsia="仿宋_GB2312"/>
                      <w:sz w:val="21"/>
                    </w:rPr>
                    <w:t>5s</w:t>
                  </w:r>
                  <w:r>
                    <w:rPr>
                      <w:rFonts w:ascii="仿宋_GB2312" w:hAnsi="仿宋_GB2312" w:cs="仿宋_GB2312" w:eastAsia="仿宋_GB2312"/>
                      <w:sz w:val="24"/>
                    </w:rPr>
                    <w:t xml:space="preserve">  </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b/>
                    </w:rPr>
                    <w:t>2.4</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b/>
                    </w:rPr>
                    <w:t>动态平板探测器</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2.4.1</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探测器尺寸</w:t>
                  </w:r>
                  <w:r>
                    <w:rPr>
                      <w:rFonts w:ascii="仿宋_GB2312" w:hAnsi="仿宋_GB2312" w:cs="仿宋_GB2312" w:eastAsia="仿宋_GB2312"/>
                      <w:sz w:val="21"/>
                    </w:rPr>
                    <w:t>≥</w:t>
                  </w:r>
                  <w:r>
                    <w:rPr>
                      <w:rFonts w:ascii="仿宋_GB2312" w:hAnsi="仿宋_GB2312" w:cs="仿宋_GB2312" w:eastAsia="仿宋_GB2312"/>
                      <w:sz w:val="21"/>
                    </w:rPr>
                    <w:t>420mm</w:t>
                  </w:r>
                  <w:r>
                    <w:rPr>
                      <w:rFonts w:ascii="仿宋_GB2312" w:hAnsi="仿宋_GB2312" w:cs="仿宋_GB2312" w:eastAsia="仿宋_GB2312"/>
                      <w:sz w:val="21"/>
                    </w:rPr>
                    <w:t>×</w:t>
                  </w:r>
                  <w:r>
                    <w:rPr>
                      <w:rFonts w:ascii="仿宋_GB2312" w:hAnsi="仿宋_GB2312" w:cs="仿宋_GB2312" w:eastAsia="仿宋_GB2312"/>
                      <w:sz w:val="21"/>
                    </w:rPr>
                    <w:t>420mm</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2.4.2</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像素尺寸</w:t>
                  </w:r>
                  <w:r>
                    <w:rPr>
                      <w:rFonts w:ascii="仿宋_GB2312" w:hAnsi="仿宋_GB2312" w:cs="仿宋_GB2312" w:eastAsia="仿宋_GB2312"/>
                      <w:sz w:val="21"/>
                    </w:rPr>
                    <w:t>≤</w:t>
                  </w:r>
                  <w:r>
                    <w:rPr>
                      <w:rFonts w:ascii="仿宋_GB2312" w:hAnsi="仿宋_GB2312" w:cs="仿宋_GB2312" w:eastAsia="仿宋_GB2312"/>
                      <w:sz w:val="21"/>
                    </w:rPr>
                    <w:t>139um</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2.4.3</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采集灰阶度</w:t>
                  </w:r>
                  <w:r>
                    <w:rPr>
                      <w:rFonts w:ascii="仿宋_GB2312" w:hAnsi="仿宋_GB2312" w:cs="仿宋_GB2312" w:eastAsia="仿宋_GB2312"/>
                      <w:sz w:val="21"/>
                    </w:rPr>
                    <w:t>≥</w:t>
                  </w:r>
                  <w:r>
                    <w:rPr>
                      <w:rFonts w:ascii="仿宋_GB2312" w:hAnsi="仿宋_GB2312" w:cs="仿宋_GB2312" w:eastAsia="仿宋_GB2312"/>
                      <w:sz w:val="21"/>
                    </w:rPr>
                    <w:t>16bits</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2.4.4</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空间分辨率</w:t>
                  </w:r>
                  <w:r>
                    <w:rPr>
                      <w:rFonts w:ascii="仿宋_GB2312" w:hAnsi="仿宋_GB2312" w:cs="仿宋_GB2312" w:eastAsia="仿宋_GB2312"/>
                      <w:sz w:val="21"/>
                    </w:rPr>
                    <w:t>≥</w:t>
                  </w:r>
                  <w:r>
                    <w:rPr>
                      <w:rFonts w:ascii="仿宋_GB2312" w:hAnsi="仿宋_GB2312" w:cs="仿宋_GB2312" w:eastAsia="仿宋_GB2312"/>
                      <w:sz w:val="21"/>
                    </w:rPr>
                    <w:t>3.6lp/mm</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2.4.5</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采集距阵</w:t>
                  </w:r>
                  <w:r>
                    <w:rPr>
                      <w:rFonts w:ascii="仿宋_GB2312" w:hAnsi="仿宋_GB2312" w:cs="仿宋_GB2312" w:eastAsia="仿宋_GB2312"/>
                      <w:sz w:val="21"/>
                    </w:rPr>
                    <w:t>≥</w:t>
                  </w:r>
                  <w:r>
                    <w:rPr>
                      <w:rFonts w:ascii="仿宋_GB2312" w:hAnsi="仿宋_GB2312" w:cs="仿宋_GB2312" w:eastAsia="仿宋_GB2312"/>
                      <w:sz w:val="21"/>
                    </w:rPr>
                    <w:t>3000</w:t>
                  </w:r>
                  <w:r>
                    <w:rPr>
                      <w:rFonts w:ascii="仿宋_GB2312" w:hAnsi="仿宋_GB2312" w:cs="仿宋_GB2312" w:eastAsia="仿宋_GB2312"/>
                      <w:sz w:val="21"/>
                    </w:rPr>
                    <w:t>×</w:t>
                  </w:r>
                  <w:r>
                    <w:rPr>
                      <w:rFonts w:ascii="仿宋_GB2312" w:hAnsi="仿宋_GB2312" w:cs="仿宋_GB2312" w:eastAsia="仿宋_GB2312"/>
                      <w:sz w:val="21"/>
                    </w:rPr>
                    <w:t>3000</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2.4.6</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DQE</w:t>
                  </w:r>
                  <w:r>
                    <w:rPr>
                      <w:rFonts w:ascii="仿宋_GB2312" w:hAnsi="仿宋_GB2312" w:cs="仿宋_GB2312" w:eastAsia="仿宋_GB2312"/>
                      <w:sz w:val="21"/>
                    </w:rPr>
                    <w:t>≥</w:t>
                  </w:r>
                  <w:r>
                    <w:rPr>
                      <w:rFonts w:ascii="仿宋_GB2312" w:hAnsi="仿宋_GB2312" w:cs="仿宋_GB2312" w:eastAsia="仿宋_GB2312"/>
                      <w:sz w:val="21"/>
                    </w:rPr>
                    <w:t>69%</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2.4.7</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成像时间</w:t>
                  </w:r>
                  <w:r>
                    <w:rPr>
                      <w:rFonts w:ascii="仿宋_GB2312" w:hAnsi="仿宋_GB2312" w:cs="仿宋_GB2312" w:eastAsia="仿宋_GB2312"/>
                      <w:sz w:val="21"/>
                    </w:rPr>
                    <w:t>≤</w:t>
                  </w:r>
                  <w:r>
                    <w:rPr>
                      <w:rFonts w:ascii="仿宋_GB2312" w:hAnsi="仿宋_GB2312" w:cs="仿宋_GB2312" w:eastAsia="仿宋_GB2312"/>
                      <w:sz w:val="21"/>
                    </w:rPr>
                    <w:t>3s</w:t>
                  </w:r>
                  <w:r>
                    <w:rPr>
                      <w:rFonts w:ascii="仿宋_GB2312" w:hAnsi="仿宋_GB2312" w:cs="仿宋_GB2312" w:eastAsia="仿宋_GB2312"/>
                      <w:sz w:val="21"/>
                    </w:rPr>
                    <w:t>（需提供证明材料）</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2.4.8</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采集速率</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帧</w:t>
                  </w:r>
                  <w:r>
                    <w:rPr>
                      <w:rFonts w:ascii="仿宋_GB2312" w:hAnsi="仿宋_GB2312" w:cs="仿宋_GB2312" w:eastAsia="仿宋_GB2312"/>
                      <w:sz w:val="21"/>
                    </w:rPr>
                    <w:t>/s</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2.4.9</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传输方式：无线传输</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b/>
                    </w:rPr>
                    <w:t>2.5</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b/>
                    </w:rPr>
                    <w:t>胸片架</w:t>
                  </w:r>
                  <w:r>
                    <w:rPr>
                      <w:rFonts w:ascii="仿宋_GB2312" w:hAnsi="仿宋_GB2312" w:cs="仿宋_GB2312" w:eastAsia="仿宋_GB2312"/>
                      <w:sz w:val="21"/>
                      <w:b/>
                    </w:rPr>
                    <w:t xml:space="preserve"> </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2.5.1</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摄影台垂直移动范围</w:t>
                  </w:r>
                  <w:r>
                    <w:rPr>
                      <w:rFonts w:ascii="仿宋_GB2312" w:hAnsi="仿宋_GB2312" w:cs="仿宋_GB2312" w:eastAsia="仿宋_GB2312"/>
                      <w:sz w:val="21"/>
                    </w:rPr>
                    <w:t>≥</w:t>
                  </w:r>
                  <w:r>
                    <w:rPr>
                      <w:rFonts w:ascii="仿宋_GB2312" w:hAnsi="仿宋_GB2312" w:cs="仿宋_GB2312" w:eastAsia="仿宋_GB2312"/>
                      <w:sz w:val="21"/>
                    </w:rPr>
                    <w:t>1500mm</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2.5.2</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探测器中心的标线距地最低</w:t>
                  </w:r>
                  <w:r>
                    <w:rPr>
                      <w:rFonts w:ascii="仿宋_GB2312" w:hAnsi="仿宋_GB2312" w:cs="仿宋_GB2312" w:eastAsia="仿宋_GB2312"/>
                      <w:sz w:val="21"/>
                    </w:rPr>
                    <w:t>≤</w:t>
                  </w:r>
                  <w:r>
                    <w:rPr>
                      <w:rFonts w:ascii="仿宋_GB2312" w:hAnsi="仿宋_GB2312" w:cs="仿宋_GB2312" w:eastAsia="仿宋_GB2312"/>
                      <w:sz w:val="21"/>
                    </w:rPr>
                    <w:t>370mm</w:t>
                  </w:r>
                  <w:r>
                    <w:rPr>
                      <w:rFonts w:ascii="仿宋_GB2312" w:hAnsi="仿宋_GB2312" w:cs="仿宋_GB2312" w:eastAsia="仿宋_GB2312"/>
                      <w:sz w:val="24"/>
                    </w:rPr>
                    <w:t xml:space="preserve">  </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2.5.3</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滤线栅栅密度</w:t>
                  </w:r>
                  <w:r>
                    <w:rPr>
                      <w:rFonts w:ascii="仿宋_GB2312" w:hAnsi="仿宋_GB2312" w:cs="仿宋_GB2312" w:eastAsia="仿宋_GB2312"/>
                      <w:sz w:val="21"/>
                    </w:rPr>
                    <w:t>≥</w:t>
                  </w:r>
                  <w:r>
                    <w:rPr>
                      <w:rFonts w:ascii="仿宋_GB2312" w:hAnsi="仿宋_GB2312" w:cs="仿宋_GB2312" w:eastAsia="仿宋_GB2312"/>
                      <w:sz w:val="21"/>
                    </w:rPr>
                    <w:t>103L/inch</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b/>
                    </w:rPr>
                    <w:t>2.6</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b/>
                    </w:rPr>
                    <w:t>固定摄影床</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2.6.1</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配备固定式摄影床，非移动式</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2.6.2</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床面移动范围：纵向</w:t>
                  </w:r>
                  <w:r>
                    <w:rPr>
                      <w:rFonts w:ascii="仿宋_GB2312" w:hAnsi="仿宋_GB2312" w:cs="仿宋_GB2312" w:eastAsia="仿宋_GB2312"/>
                      <w:sz w:val="21"/>
                    </w:rPr>
                    <w:t>≥</w:t>
                  </w:r>
                  <w:r>
                    <w:rPr>
                      <w:rFonts w:ascii="仿宋_GB2312" w:hAnsi="仿宋_GB2312" w:cs="仿宋_GB2312" w:eastAsia="仿宋_GB2312"/>
                      <w:sz w:val="21"/>
                    </w:rPr>
                    <w:t>900mm</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2.6.3</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床面移动范围：横向</w:t>
                  </w:r>
                  <w:r>
                    <w:rPr>
                      <w:rFonts w:ascii="仿宋_GB2312" w:hAnsi="仿宋_GB2312" w:cs="仿宋_GB2312" w:eastAsia="仿宋_GB2312"/>
                      <w:sz w:val="21"/>
                    </w:rPr>
                    <w:t>≥</w:t>
                  </w:r>
                  <w:r>
                    <w:rPr>
                      <w:rFonts w:ascii="仿宋_GB2312" w:hAnsi="仿宋_GB2312" w:cs="仿宋_GB2312" w:eastAsia="仿宋_GB2312"/>
                      <w:sz w:val="21"/>
                    </w:rPr>
                    <w:t>260mm</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2.6.4</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滤线器纵向范围</w:t>
                  </w:r>
                  <w:r>
                    <w:rPr>
                      <w:rFonts w:ascii="仿宋_GB2312" w:hAnsi="仿宋_GB2312" w:cs="仿宋_GB2312" w:eastAsia="仿宋_GB2312"/>
                      <w:sz w:val="21"/>
                    </w:rPr>
                    <w:t>≥</w:t>
                  </w:r>
                  <w:r>
                    <w:rPr>
                      <w:rFonts w:ascii="仿宋_GB2312" w:hAnsi="仿宋_GB2312" w:cs="仿宋_GB2312" w:eastAsia="仿宋_GB2312"/>
                      <w:sz w:val="21"/>
                    </w:rPr>
                    <w:t>530mm</w:t>
                  </w:r>
                  <w:r>
                    <w:rPr>
                      <w:rFonts w:ascii="仿宋_GB2312" w:hAnsi="仿宋_GB2312" w:cs="仿宋_GB2312" w:eastAsia="仿宋_GB2312"/>
                      <w:sz w:val="24"/>
                    </w:rPr>
                    <w:t xml:space="preserve">   </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2.6.5</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床面板下表面至平板探测器接收面距离</w:t>
                  </w:r>
                  <w:r>
                    <w:rPr>
                      <w:rFonts w:ascii="仿宋_GB2312" w:hAnsi="仿宋_GB2312" w:cs="仿宋_GB2312" w:eastAsia="仿宋_GB2312"/>
                      <w:sz w:val="21"/>
                    </w:rPr>
                    <w:t>≤</w:t>
                  </w:r>
                  <w:r>
                    <w:rPr>
                      <w:rFonts w:ascii="仿宋_GB2312" w:hAnsi="仿宋_GB2312" w:cs="仿宋_GB2312" w:eastAsia="仿宋_GB2312"/>
                      <w:sz w:val="21"/>
                    </w:rPr>
                    <w:t>65mm</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2.6.6</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床面最大承重</w:t>
                  </w:r>
                  <w:r>
                    <w:rPr>
                      <w:rFonts w:ascii="仿宋_GB2312" w:hAnsi="仿宋_GB2312" w:cs="仿宋_GB2312" w:eastAsia="仿宋_GB2312"/>
                      <w:sz w:val="21"/>
                    </w:rPr>
                    <w:t>≥</w:t>
                  </w:r>
                  <w:r>
                    <w:rPr>
                      <w:rFonts w:ascii="仿宋_GB2312" w:hAnsi="仿宋_GB2312" w:cs="仿宋_GB2312" w:eastAsia="仿宋_GB2312"/>
                      <w:sz w:val="21"/>
                    </w:rPr>
                    <w:t>200kg</w:t>
                  </w:r>
                  <w:r>
                    <w:rPr>
                      <w:rFonts w:ascii="仿宋_GB2312" w:hAnsi="仿宋_GB2312" w:cs="仿宋_GB2312" w:eastAsia="仿宋_GB2312"/>
                      <w:sz w:val="24"/>
                    </w:rPr>
                    <w:t xml:space="preserve">  </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2.6.7</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床面板解锁方式：脚踏方式电磁解锁</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2.6.8</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支持平板在线充电</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2.6.9</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床面距地高度</w:t>
                  </w:r>
                  <w:r>
                    <w:rPr>
                      <w:rFonts w:ascii="仿宋_GB2312" w:hAnsi="仿宋_GB2312" w:cs="仿宋_GB2312" w:eastAsia="仿宋_GB2312"/>
                      <w:sz w:val="21"/>
                    </w:rPr>
                    <w:t>≤</w:t>
                  </w:r>
                  <w:r>
                    <w:rPr>
                      <w:rFonts w:ascii="仿宋_GB2312" w:hAnsi="仿宋_GB2312" w:cs="仿宋_GB2312" w:eastAsia="仿宋_GB2312"/>
                      <w:sz w:val="21"/>
                    </w:rPr>
                    <w:t>660mm</w:t>
                  </w:r>
                  <w:r>
                    <w:rPr>
                      <w:rFonts w:ascii="仿宋_GB2312" w:hAnsi="仿宋_GB2312" w:cs="仿宋_GB2312" w:eastAsia="仿宋_GB2312"/>
                      <w:sz w:val="24"/>
                    </w:rPr>
                    <w:t xml:space="preserve">  </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b/>
                    </w:rPr>
                    <w:t>2.7</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b/>
                    </w:rPr>
                    <w:t>球管机头端触控屏</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2.7.1</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具备近台操控彩色触摸屏</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2.7.2</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屏幕尺寸</w:t>
                  </w: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英寸</w:t>
                  </w:r>
                  <w:r>
                    <w:rPr>
                      <w:rFonts w:ascii="仿宋_GB2312" w:hAnsi="仿宋_GB2312" w:cs="仿宋_GB2312" w:eastAsia="仿宋_GB2312"/>
                      <w:sz w:val="24"/>
                    </w:rPr>
                    <w:t xml:space="preserve">   </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2.7.3</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屏幕显示可依据重力方向自动调整显示的方向</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2.7.4</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可显示患者的详细登记信息</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2.7.5</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可调整曝光参数</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2.7.6</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可调整部位选择</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2.7.7</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显示摆位图示化引导提示</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2.7.8</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具备患者体型选择</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2.7.9</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可以显示</w:t>
                  </w:r>
                  <w:r>
                    <w:rPr>
                      <w:rFonts w:ascii="仿宋_GB2312" w:hAnsi="仿宋_GB2312" w:cs="仿宋_GB2312" w:eastAsia="仿宋_GB2312"/>
                      <w:sz w:val="21"/>
                    </w:rPr>
                    <w:t>SID</w:t>
                  </w:r>
                  <w:r>
                    <w:rPr>
                      <w:rFonts w:ascii="仿宋_GB2312" w:hAnsi="仿宋_GB2312" w:cs="仿宋_GB2312" w:eastAsia="仿宋_GB2312"/>
                      <w:sz w:val="21"/>
                    </w:rPr>
                    <w:t>数值</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2.7.10</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可显示摄影图像（需提供检验报告证明）</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b/>
                    </w:rPr>
                    <w:t>2.8</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b/>
                    </w:rPr>
                    <w:t>图像采集工作站</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2.8.1</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windows 7</w:t>
                  </w:r>
                  <w:r>
                    <w:rPr>
                      <w:rFonts w:ascii="仿宋_GB2312" w:hAnsi="仿宋_GB2312" w:cs="仿宋_GB2312" w:eastAsia="仿宋_GB2312"/>
                      <w:sz w:val="21"/>
                    </w:rPr>
                    <w:t>及以上操作系统</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2.8.2</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操作界面语言采用中文设计</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2.8.3</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高压发生器控制与系统操作高度集成，可在系统界面上进行高压发生器曝光参数的调节、设置和显示</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2.8.4</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具有图像放大及漫游功能</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2.8.5</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具有曝光参数记录和显示功能</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2.8.6</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具有边缘增强功能</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2.8.7</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具有窗宽窗位调节功能</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2.8.8</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具有图象翻转及旋转功能</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2.8.9</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具有图像正负像翻转功能</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2.8.10</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具有图像标注功能</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2.8.11</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具有</w:t>
                  </w:r>
                  <w:r>
                    <w:rPr>
                      <w:rFonts w:ascii="仿宋_GB2312" w:hAnsi="仿宋_GB2312" w:cs="仿宋_GB2312" w:eastAsia="仿宋_GB2312"/>
                      <w:sz w:val="21"/>
                    </w:rPr>
                    <w:t>DICOM</w:t>
                  </w:r>
                  <w:r>
                    <w:rPr>
                      <w:rFonts w:ascii="仿宋_GB2312" w:hAnsi="仿宋_GB2312" w:cs="仿宋_GB2312" w:eastAsia="仿宋_GB2312"/>
                      <w:sz w:val="21"/>
                    </w:rPr>
                    <w:t>图像导出存储功能</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2.8.12</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具有病人登记，信息管理功能</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2.8.13</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具有故障代码发送，高压发生器操作过程记录功能</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2.8.14</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支持</w:t>
                  </w:r>
                  <w:r>
                    <w:rPr>
                      <w:rFonts w:ascii="仿宋_GB2312" w:hAnsi="仿宋_GB2312" w:cs="仿宋_GB2312" w:eastAsia="仿宋_GB2312"/>
                      <w:sz w:val="21"/>
                    </w:rPr>
                    <w:t>DICOM3.0</w:t>
                  </w:r>
                  <w:r>
                    <w:rPr>
                      <w:rFonts w:ascii="仿宋_GB2312" w:hAnsi="仿宋_GB2312" w:cs="仿宋_GB2312" w:eastAsia="仿宋_GB2312"/>
                      <w:sz w:val="21"/>
                    </w:rPr>
                    <w:t>：</w:t>
                  </w:r>
                  <w:r>
                    <w:rPr>
                      <w:rFonts w:ascii="仿宋_GB2312" w:hAnsi="仿宋_GB2312" w:cs="仿宋_GB2312" w:eastAsia="仿宋_GB2312"/>
                      <w:sz w:val="21"/>
                    </w:rPr>
                    <w:t>WORKLIST</w:t>
                  </w:r>
                  <w:r>
                    <w:rPr>
                      <w:rFonts w:ascii="仿宋_GB2312" w:hAnsi="仿宋_GB2312" w:cs="仿宋_GB2312" w:eastAsia="仿宋_GB2312"/>
                      <w:sz w:val="21"/>
                    </w:rPr>
                    <w:t>，</w:t>
                  </w:r>
                  <w:r>
                    <w:rPr>
                      <w:rFonts w:ascii="仿宋_GB2312" w:hAnsi="仿宋_GB2312" w:cs="仿宋_GB2312" w:eastAsia="仿宋_GB2312"/>
                      <w:sz w:val="21"/>
                    </w:rPr>
                    <w:t>MPPS</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2.8.15</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具有统计功能，可统计曝光数量，拍摄部位，拍摄量等</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2.8.16</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具有</w:t>
                  </w:r>
                  <w:r>
                    <w:rPr>
                      <w:rFonts w:ascii="仿宋_GB2312" w:hAnsi="仿宋_GB2312" w:cs="仿宋_GB2312" w:eastAsia="仿宋_GB2312"/>
                      <w:sz w:val="21"/>
                    </w:rPr>
                    <w:t>DAP</w:t>
                  </w:r>
                  <w:r>
                    <w:rPr>
                      <w:rFonts w:ascii="仿宋_GB2312" w:hAnsi="仿宋_GB2312" w:cs="仿宋_GB2312" w:eastAsia="仿宋_GB2312"/>
                      <w:sz w:val="21"/>
                    </w:rPr>
                    <w:t>剂量面积乘积显示功能（需提供软件著作权证书证明）</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2.8.17</w:t>
                  </w: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具有智能售后远程服务系统，厂家能实时观测设备的详细使用状态，能自动反馈故障或错误给厂家（需提供相关证明文件证明）</w:t>
                  </w:r>
                </w:p>
              </w:tc>
            </w:tr>
          </w:tbl>
          <w:p>
            <w:pPr>
              <w:pStyle w:val="null3"/>
              <w:spacing w:before="105" w:after="105"/>
              <w:jc w:val="left"/>
            </w:pPr>
            <w:r>
              <w:rPr>
                <w:rFonts w:ascii="仿宋_GB2312" w:hAnsi="仿宋_GB2312" w:cs="仿宋_GB2312" w:eastAsia="仿宋_GB2312"/>
                <w:sz w:val="21"/>
              </w:rPr>
              <w:t>除以上设备参数要求外，设备供应商应提供及时完备的售后服务，在设备故障发生时，生产厂家需提供</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24小时技术支持服务，并能保证在接到报修通知后2小时内到达现场。</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接采购人交货通知起30天内完成安装及调试。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项目完成安装、调试、交付并验收合格后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产品质保期满2年，且无质量问题、售后服务无纠纷</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交货地点后，由成交供应商配合采购单位根据合同对货物（设备）的名称、品牌、规格、型号、产地、数量等进行检查，货物安装调试（包括机械部件组装、电气连接、系统参数设置、影像质量校准等工作），设备调试正常后，按照区数据和行政审批服务局流程申请进行医疗机构放射性职业病危害建设项目竣工验收。验收通过后，方可正式投入临床使用。设备从通过验收之日起进入保修期，提供原厂保修升级。 （2）货物（产品）验收依据：合同文本及合同补充文件（条款），磋商文件，磋商响应文件，国家相应的标准、规范等。上述依据互为补充，各文件约定不一致的，若无补充协议对适用规则作出约定的前提下，则以产生顺序最新的优先适用。适用时间规则仍不能确定如何适用的，以采购人意见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质保期：原厂整机质保两年。 （1）质保期自验收合格之日起算，质保期内，发生质量问题，成交供应商自接到采购人通知后，2小时内响应并派出专业的维修人员到现场进行检测维修，发生的全部费用由供应商承担，若需送回生产厂，供应商承担往返费用,若供应商在接到通知后未在2小时内派人到场进行维修，则采购人有权自主进行维修，由此产生的费用由供应商承担并赔偿采购人因此造成的损失，重大事故成交供应商应在48小时内解决；同时定期派技术人员到现场走访，给予检查维护。质保期结束前一个月内，供应商对所供设备进行全面测试，全面保养维护，确保正常运行。 （2）终身维护：供应商承诺对本设备提供终身技术支持维修、维护服务，质保期满后，仅收取零配件成本费用，不收取额外上门服务费、技术服务费，长期保障设备正常运行。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1.按《中华人民共和国政府采购法》、《中华人民共和国民法典》中的相关条款、磋商文件、磋商响应文件及合同约定执行。 2.未按合同或竞争性磋商文件要求提供产品或供应的产品质量不能满足采购人技术要求，采购人有权终止合同，甚至对中标人违约行为进行追究。 3.中标人的响应文件为签订正式书面合同书不可分割的部分，中标人应履行相应的责任。</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其他事宜，依据合同要求。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财务状况报告（任选其一）</w:t>
            </w:r>
          </w:p>
        </w:tc>
        <w:tc>
          <w:tcPr>
            <w:tcW w:type="dxa" w:w="3322"/>
          </w:tcPr>
          <w:p>
            <w:pPr>
              <w:pStyle w:val="null3"/>
            </w:pPr>
            <w:r>
              <w:rPr>
                <w:rFonts w:ascii="仿宋_GB2312" w:hAnsi="仿宋_GB2312" w:cs="仿宋_GB2312" w:eastAsia="仿宋_GB2312"/>
              </w:rPr>
              <w:t>财务状况报告（任选其一）①2024年度或2025年度经审计的完整财务审计报告（成立时间至提交响应文件截止时间不足一年的可提供成立后任意时段的资产负债表）； ②或提交响应文件截止时间三个月内其基本账户开户银行出具的资信证明（附基本存款账户信息）。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提供递交响应文件截止之日前一年内任意一个月依法缴纳税收的相关凭据，凭据应有税务机关或代收机关的公章或业务专用章。依法免税或无须缴纳税收的供应商，应提供书面说明和相关证明材料。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提供参加本次政府采购活动前3年内在经营活动中没有重大违法记录的书面声明。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中列入失信被执行人和重大税收违法失信主体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提供直接控股和管理关系清单。若与其他响应供应商存在单位负责人为同一人或者存在直接控股、管理关系的，则投标无效。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资料中)；法定代表人（主要负责人）委托代理人参加投标时，应提供法定代表人（主要负责人）委托授权书及代理人本单位证明（响应文件提交截止日前六个月内任意一个月社会保险缴纳证明）。磋商响应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联合体要求</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本项目不接受联合体投标，不允许分包：供应商应提供《非联合体不分包投标声明》，视为独立投标，不分包。</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医疗器械注册证或备案凭证</w:t>
            </w:r>
          </w:p>
        </w:tc>
        <w:tc>
          <w:tcPr>
            <w:tcW w:type="dxa" w:w="3322"/>
          </w:tcPr>
          <w:p>
            <w:pPr>
              <w:pStyle w:val="null3"/>
            </w:pPr>
            <w:r>
              <w:rPr>
                <w:rFonts w:ascii="仿宋_GB2312" w:hAnsi="仿宋_GB2312" w:cs="仿宋_GB2312" w:eastAsia="仿宋_GB2312"/>
              </w:rPr>
              <w:t>供应商须提供拟投产品有效的医疗器械注册证或备案凭证。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许可证</w:t>
            </w:r>
          </w:p>
        </w:tc>
        <w:tc>
          <w:tcPr>
            <w:tcW w:type="dxa" w:w="3322"/>
          </w:tcPr>
          <w:p>
            <w:pPr>
              <w:pStyle w:val="null3"/>
            </w:pPr>
            <w:r>
              <w:rPr>
                <w:rFonts w:ascii="仿宋_GB2312" w:hAnsi="仿宋_GB2312" w:cs="仿宋_GB2312" w:eastAsia="仿宋_GB2312"/>
              </w:rPr>
              <w:t>若投标人为制造厂家，应出具医疗器械生产许可证（拟投医疗器械须在其生产范围内）；若投标人为经销商，应出具医疗器械经营许可证（或备案凭证），以及拟投医疗器械制造厂家的医疗器械生产许可证（投标产品须在其生产范围内）。</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技术参数偏离表 资格证明文件 中小企业声明函 残疾人福利性单位声明函 标的清单 报价表 响应函 商务条款偏离表 监狱企业的证明文件 实施方案</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磋商响应文件递交截止之日起90日历天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响应文件的签署、盖章、有效性</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技术参数偏离表 资格证明文件 中小企业声明函 残疾人福利性单位声明函 标的清单 报价表 响应函 商务条款偏离表 监狱企业的证明文件 实施方案</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首次报价只能有一个有效报价，不得提交选择性报价，并未超出采购预算或最高限价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技术参数偏离表 资格证明文件 中小企业声明函 残疾人福利性单位声明函 标的清单 报价表 响应函 商务条款偏离表 监狱企业的证明文件 实施方案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质量保证期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技术参数偏离表 资格证明文件 中小企业声明函 残疾人福利性单位声明函 标的清单 报价表 响应函 商务条款偏离表 实施方案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未出现采购文件规定的无效响应情形</w:t>
            </w:r>
          </w:p>
        </w:tc>
        <w:tc>
          <w:tcPr>
            <w:tcW w:type="dxa" w:w="1661"/>
          </w:tcPr>
          <w:p>
            <w:pPr>
              <w:pStyle w:val="null3"/>
            </w:pPr>
            <w:r>
              <w:rPr>
                <w:rFonts w:ascii="仿宋_GB2312" w:hAnsi="仿宋_GB2312" w:cs="仿宋_GB2312" w:eastAsia="仿宋_GB2312"/>
              </w:rPr>
              <w:t>响应文件封面 技术参数偏离表 资格证明文件 中小企业声明函 残疾人福利性单位声明函 标的清单 报价表 响应函 商务条款偏离表 监狱企业的证明文件 实施方案</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详细评审55.00分</w:t>
            </w:r>
          </w:p>
          <w:p>
            <w:pPr>
              <w:pStyle w:val="null3"/>
            </w:pPr>
            <w:r>
              <w:rPr>
                <w:rFonts w:ascii="仿宋_GB2312" w:hAnsi="仿宋_GB2312" w:cs="仿宋_GB2312" w:eastAsia="仿宋_GB2312"/>
              </w:rPr>
              <w:t>报价得分45.00分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（1）评审内容：供应商提供的产品完全响应磋商文件3.3 技术要求“二、设备参数要求”，满足技术规格参数要求，没有负偏离，计30分； （2）评审标准：设备参数指标“▲”号技术指标每不满足一项扣4分，非“▲”号技术指标负偏离，每负偏离一项扣2分，扣完为止。 注：所需提供的证明材料包括但不限于注册证内容体现、技术说明书、权威部门出具的检验报告、产品彩页、测试报告、官网和功能截图等技术支持性文件予以证明其技术指标响应性。</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w:t>
            </w:r>
          </w:p>
          <w:p>
            <w:pPr>
              <w:pStyle w:val="null3"/>
            </w:pPr>
            <w:r>
              <w:rPr>
                <w:rFonts w:ascii="仿宋_GB2312" w:hAnsi="仿宋_GB2312" w:cs="仿宋_GB2312" w:eastAsia="仿宋_GB2312"/>
              </w:rPr>
              <w:t>商务条款偏离表</w:t>
            </w:r>
          </w:p>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供货进度计划</w:t>
            </w:r>
          </w:p>
        </w:tc>
        <w:tc>
          <w:tcPr>
            <w:tcW w:type="dxa" w:w="2492"/>
          </w:tcPr>
          <w:p>
            <w:pPr>
              <w:pStyle w:val="null3"/>
            </w:pPr>
            <w:r>
              <w:rPr>
                <w:rFonts w:ascii="仿宋_GB2312" w:hAnsi="仿宋_GB2312" w:cs="仿宋_GB2312" w:eastAsia="仿宋_GB2312"/>
              </w:rPr>
              <w:t>（1）评审内容：针对本项目提供具体可行的供货进度计划，包括但不限于①产品运输、安装调试，②试运行及验收方案。 （2）评审标准：①完整性：方案全面，对评审内容中的各项要求有详细描述； ②可实施性：切合本项目实际情况实施性强步骤清晰，精准匹配采购需求不泛化。 （3）赋分标准（1分） ①产品运输、安装调试：每完全满足一个评审标准得0.25分，满分0.5分； ②试运行及验收方案：每完全满足一个评审标准得0.25分，满分0.5分。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1）评审内容：针对本项目提供具体可行的产品质量保证方案，包括但不限于①投标产品供货渠道，符合国家相关质量标准、产品性能稳定，保证为原厂正品，具有合法的产品来源渠道证明材料；②产品质量保证方案及承诺。 （2）评审标准：①完整性：方案必须全面，对评审内容中的各项要求有详细描述； ②可实施性：切合本项目实际情况，证明材料合法，方案合理可实施性强步骤清晰； ③针对性：方案能紧扣项目实际情况，精准匹配采购需求不泛化，证明资料齐全有效。 （3）赋分标准（6分） ①投标产品供货渠道：每完全满足一个评审标准得1分，满分3分； ②产品质量保证方案及承诺：每完全满足一个评审标准得1分，满分3分；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评审内容：为确保使用单位能熟练操作和日常维护，供应商应为使用单位培训操作维护人员，并提供全面的培训方案包括但不限于①产品培训方案及后期培训支撑服务；②培训内容、课程安排、培训方式等。 （2）评审标准：①完整性：方案必须全面，对评审内容中的各项要求有详细描述； ②可实施性：切合本项目实际情况，提出步骤清晰、合理的方案，精准匹配采购需求不泛化。 （3）赋分标准（4分） ①产品培训方案及后期培训支撑服务：每完全满足一个评审标准得1分，满分2分； ②培训内容、课程安排、培训方式：每完全满足一个评审标准得1分，满分2分；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评审内容：根据供应商针对本项目提出具体的售后服务方案进行综合评审，包括但不限于①售后服务保障措施；②故障处理响应时间及补货换货解决方案；③质量保证期限及质量保证的范围承诺；④售后人员配置计划。 （2）评审标准：①完整性：方案必须全面，对评审内容中的各项要求有详细描述； ②可实施性：切合本项目实际情况，提出步骤清晰、合理的方案，精准匹配采购需求不泛化。 （3）赋分标准（8分） ①售后服务保障措施：每完全满足一个评审标准得1分，满分2分； ②故障处理响应时间及补货换货解决方案：每完全满足一个评审标准得1分，满分2分； ③质量保证期限及质量保证的范围承诺：每完全满足一个评审标准得1分，满分2分； ④售后人员配置计划：每完全满足一个评审标准得1分，满分2分；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提供2023年3月至今类似项目业绩，每提供一个类似项目业绩得2分，满分6分。 评审依据：业绩资料提供合同复印件或扫描件加盖公章，以合同签订时间为准。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满足竞争性磋商文件实质性要求且最终磋商报价最低的供应商的价格为评审基准价，其价格分为满分。 磋商报价得分=（评审基准价／最终磋商报价）×45。（符合竞争性磋商文件规定的价格扣除的供应商，用扣除后的价格参与评审。） 注：根据《关于推动解决政府采购异常低价问题的通知 财库〔2026〕2号》采购评审中出现下列情形之一的，评审委员会应当启动异常低价投标（响应）审查程序：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详见附件：实施方案</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详见附件：技术参数偏离表</w:t>
      </w:r>
    </w:p>
    <w:p>
      <w:pPr>
        <w:pStyle w:val="null3"/>
        <w:ind w:firstLine="960"/>
      </w:pPr>
      <w:r>
        <w:rPr>
          <w:rFonts w:ascii="仿宋_GB2312" w:hAnsi="仿宋_GB2312" w:cs="仿宋_GB2312" w:eastAsia="仿宋_GB2312"/>
        </w:rPr>
        <w:t>详见附件：商务条款偏离表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