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681FC2"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52"/>
          <w:szCs w:val="52"/>
        </w:rPr>
      </w:pPr>
    </w:p>
    <w:p w14:paraId="62D1E563">
      <w:pPr>
        <w:jc w:val="center"/>
        <w:rPr>
          <w:rFonts w:hint="eastAsia" w:ascii="楷体" w:hAnsi="楷体" w:eastAsia="楷体" w:cs="楷体"/>
          <w:b/>
          <w:bCs/>
          <w:color w:val="auto"/>
          <w:sz w:val="40"/>
          <w:szCs w:val="48"/>
        </w:rPr>
      </w:pPr>
      <w:r>
        <w:rPr>
          <w:rFonts w:hint="eastAsia" w:asciiTheme="minorEastAsia" w:hAnsiTheme="minorEastAsia" w:cstheme="minorEastAsia"/>
          <w:b/>
          <w:bCs/>
          <w:color w:val="auto"/>
          <w:sz w:val="48"/>
          <w:szCs w:val="48"/>
          <w:lang w:eastAsia="zh-CN"/>
        </w:rPr>
        <w:t>数字化医用X射线摄影系统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52"/>
          <w:szCs w:val="52"/>
        </w:rPr>
        <w:t xml:space="preserve"> </w:t>
      </w:r>
      <w:r>
        <w:rPr>
          <w:rFonts w:hint="eastAsia" w:ascii="楷体" w:hAnsi="楷体" w:eastAsia="楷体" w:cs="楷体"/>
          <w:b/>
          <w:bCs/>
          <w:color w:val="auto"/>
          <w:sz w:val="40"/>
          <w:szCs w:val="48"/>
        </w:rPr>
        <w:t xml:space="preserve">  </w:t>
      </w:r>
    </w:p>
    <w:p w14:paraId="249538E5">
      <w:pPr>
        <w:jc w:val="center"/>
        <w:rPr>
          <w:rFonts w:hint="eastAsia" w:ascii="楷体" w:hAnsi="楷体" w:eastAsia="楷体" w:cs="楷体"/>
          <w:b/>
          <w:bCs/>
          <w:color w:val="auto"/>
          <w:sz w:val="40"/>
          <w:szCs w:val="48"/>
        </w:rPr>
      </w:pPr>
    </w:p>
    <w:p w14:paraId="52F48D6E">
      <w:pPr>
        <w:jc w:val="center"/>
        <w:rPr>
          <w:rFonts w:hint="eastAsia" w:ascii="楷体" w:hAnsi="楷体" w:eastAsia="楷体" w:cs="楷体"/>
          <w:b/>
          <w:bCs/>
          <w:color w:val="auto"/>
          <w:sz w:val="52"/>
          <w:szCs w:val="72"/>
        </w:rPr>
      </w:pPr>
    </w:p>
    <w:p w14:paraId="46E9A7EE"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52"/>
          <w:szCs w:val="72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52"/>
          <w:szCs w:val="72"/>
        </w:rPr>
        <w:t>采购合同</w:t>
      </w:r>
    </w:p>
    <w:p w14:paraId="04A97368">
      <w:pPr>
        <w:jc w:val="center"/>
        <w:rPr>
          <w:rFonts w:hint="eastAsia" w:asciiTheme="minorEastAsia" w:hAnsiTheme="minorEastAsia" w:eastAsiaTheme="minorEastAsia" w:cstheme="minorEastAsia"/>
          <w:b w:val="0"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</w:rPr>
        <w:t>成交供应商和采购人也可根据项目特点自行拟定合同条款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lang w:eastAsia="zh-CN"/>
        </w:rPr>
        <w:t>）</w:t>
      </w:r>
    </w:p>
    <w:p w14:paraId="7E86B830">
      <w:pPr>
        <w:spacing w:before="156" w:beforeLines="50" w:line="400" w:lineRule="exact"/>
        <w:jc w:val="center"/>
        <w:rPr>
          <w:rFonts w:hint="eastAsia" w:ascii="楷体" w:hAnsi="楷体" w:eastAsia="楷体" w:cs="楷体"/>
          <w:bCs/>
          <w:color w:val="auto"/>
          <w:sz w:val="48"/>
          <w:szCs w:val="48"/>
        </w:rPr>
      </w:pPr>
    </w:p>
    <w:p w14:paraId="262BED09">
      <w:pPr>
        <w:spacing w:before="156" w:beforeLines="50" w:line="400" w:lineRule="exact"/>
        <w:jc w:val="center"/>
        <w:rPr>
          <w:rFonts w:hint="eastAsia" w:ascii="楷体" w:hAnsi="楷体" w:eastAsia="楷体" w:cs="楷体"/>
          <w:bCs/>
          <w:color w:val="auto"/>
          <w:sz w:val="48"/>
          <w:szCs w:val="48"/>
        </w:rPr>
      </w:pPr>
    </w:p>
    <w:p w14:paraId="7ECB4CE5">
      <w:pPr>
        <w:pStyle w:val="10"/>
        <w:rPr>
          <w:rFonts w:hint="eastAsia" w:ascii="楷体" w:hAnsi="楷体" w:eastAsia="楷体" w:cs="楷体"/>
          <w:bCs/>
          <w:color w:val="auto"/>
          <w:sz w:val="48"/>
          <w:szCs w:val="48"/>
        </w:rPr>
      </w:pPr>
    </w:p>
    <w:p w14:paraId="20172D3E">
      <w:pPr>
        <w:pStyle w:val="7"/>
        <w:rPr>
          <w:rFonts w:hint="eastAsia" w:ascii="楷体" w:hAnsi="楷体" w:eastAsia="楷体" w:cs="楷体"/>
          <w:bCs/>
          <w:color w:val="auto"/>
          <w:sz w:val="48"/>
          <w:szCs w:val="48"/>
        </w:rPr>
      </w:pPr>
    </w:p>
    <w:p w14:paraId="0F459BC7">
      <w:pPr>
        <w:rPr>
          <w:rFonts w:hint="eastAsia" w:ascii="楷体" w:hAnsi="楷体" w:eastAsia="楷体" w:cs="楷体"/>
          <w:bCs/>
          <w:color w:val="auto"/>
          <w:sz w:val="48"/>
          <w:szCs w:val="48"/>
        </w:rPr>
      </w:pPr>
    </w:p>
    <w:p w14:paraId="2DA48F8A">
      <w:pPr>
        <w:pStyle w:val="2"/>
        <w:rPr>
          <w:rFonts w:hint="eastAsia" w:ascii="楷体" w:hAnsi="楷体" w:eastAsia="楷体" w:cs="楷体"/>
          <w:bCs/>
          <w:color w:val="auto"/>
          <w:sz w:val="48"/>
          <w:szCs w:val="48"/>
        </w:rPr>
      </w:pPr>
    </w:p>
    <w:p w14:paraId="55A51AEF">
      <w:pPr>
        <w:rPr>
          <w:rFonts w:hint="eastAsia" w:ascii="楷体" w:hAnsi="楷体" w:eastAsia="楷体" w:cs="楷体"/>
          <w:bCs/>
          <w:color w:val="auto"/>
          <w:sz w:val="48"/>
          <w:szCs w:val="48"/>
        </w:rPr>
      </w:pPr>
    </w:p>
    <w:p w14:paraId="7AFD33D5">
      <w:pPr>
        <w:pStyle w:val="2"/>
        <w:rPr>
          <w:rFonts w:hint="eastAsia"/>
        </w:rPr>
      </w:pPr>
    </w:p>
    <w:p w14:paraId="19E8B91C">
      <w:pPr>
        <w:pStyle w:val="7"/>
        <w:rPr>
          <w:rFonts w:hint="eastAsia" w:ascii="宋体" w:hAnsi="宋体" w:eastAsia="宋体" w:cs="宋体"/>
          <w:bCs/>
          <w:color w:val="auto"/>
          <w:sz w:val="48"/>
          <w:szCs w:val="48"/>
        </w:rPr>
      </w:pPr>
    </w:p>
    <w:p w14:paraId="47C2BE3A">
      <w:pPr>
        <w:pStyle w:val="2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4" w:lineRule="exact"/>
        <w:ind w:left="0" w:leftChars="0" w:right="0" w:firstLine="2520" w:firstLineChars="9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  <w:lang w:val="en-US" w:eastAsia="zh-CN" w:bidi="en-US"/>
        </w:rPr>
      </w:pPr>
      <w:bookmarkStart w:id="0" w:name="_Toc13573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</w:rPr>
        <w:t>甲方：</w:t>
      </w:r>
      <w:bookmarkEnd w:id="0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  <w:lang w:val="en-US" w:eastAsia="zh-CN"/>
        </w:rPr>
        <w:t xml:space="preserve"> </w:t>
      </w:r>
    </w:p>
    <w:p w14:paraId="5972B6C9">
      <w:pPr>
        <w:pStyle w:val="2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4" w:lineRule="exact"/>
        <w:ind w:left="0" w:leftChars="0" w:right="0" w:firstLine="2520" w:firstLineChars="900"/>
        <w:jc w:val="both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  <w:lang w:eastAsia="zh-CN"/>
        </w:rPr>
      </w:pPr>
      <w:bookmarkStart w:id="1" w:name="_Toc25729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</w:rPr>
        <w:t>乙方：</w:t>
      </w:r>
      <w:bookmarkEnd w:id="1"/>
    </w:p>
    <w:p w14:paraId="10A5F4B4">
      <w:pPr>
        <w:pStyle w:val="2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4" w:lineRule="exact"/>
        <w:ind w:left="0" w:right="0" w:firstLine="20"/>
        <w:jc w:val="center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</w:rPr>
      </w:pPr>
    </w:p>
    <w:p w14:paraId="383D2D8B">
      <w:pPr>
        <w:pStyle w:val="2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4" w:lineRule="exact"/>
        <w:ind w:left="0" w:right="0" w:firstLine="20"/>
        <w:jc w:val="center"/>
        <w:textAlignment w:val="auto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</w:rPr>
      </w:pPr>
    </w:p>
    <w:p w14:paraId="458BDF7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80" w:lineRule="exact"/>
        <w:jc w:val="center"/>
        <w:textAlignment w:val="auto"/>
        <w:outlineLvl w:val="9"/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</w:rPr>
      </w:pPr>
      <w:bookmarkStart w:id="2" w:name="_Toc5399"/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  <w:lang w:val="en-US" w:eastAsia="en-US" w:bidi="en-US"/>
        </w:rPr>
        <w:t>202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  <w:lang w:val="en-US" w:eastAsia="zh-CN" w:bidi="en-US"/>
        </w:rPr>
        <w:t>6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</w:rPr>
        <w:t>月</w:t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</w:rPr>
        <w:br w:type="textWrapping"/>
      </w:r>
      <w:r>
        <w:rPr>
          <w:rFonts w:hint="eastAsia" w:ascii="宋体" w:hAnsi="宋体" w:eastAsia="宋体" w:cs="宋体"/>
          <w:color w:val="000000"/>
          <w:spacing w:val="0"/>
          <w:w w:val="100"/>
          <w:position w:val="0"/>
          <w:sz w:val="28"/>
          <w:szCs w:val="28"/>
          <w:highlight w:val="none"/>
        </w:rPr>
        <w:t>中国西安</w:t>
      </w:r>
      <w:bookmarkEnd w:id="2"/>
    </w:p>
    <w:p w14:paraId="35BBCEEB">
      <w:pPr>
        <w:spacing w:before="156" w:beforeLines="50" w:line="400" w:lineRule="exact"/>
        <w:jc w:val="center"/>
        <w:rPr>
          <w:rFonts w:hint="eastAsia" w:ascii="楷体" w:hAnsi="楷体" w:eastAsia="楷体" w:cs="楷体"/>
          <w:b/>
          <w:bCs/>
          <w:color w:val="auto"/>
          <w:sz w:val="36"/>
          <w:szCs w:val="32"/>
        </w:rPr>
      </w:pPr>
      <w:r>
        <w:rPr>
          <w:rFonts w:hint="eastAsia" w:ascii="楷体" w:hAnsi="楷体" w:eastAsia="楷体" w:cs="楷体"/>
          <w:bCs/>
          <w:color w:val="auto"/>
          <w:sz w:val="48"/>
          <w:szCs w:val="48"/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6"/>
          <w:szCs w:val="32"/>
        </w:rPr>
        <w:t>第一部分  协议书</w:t>
      </w:r>
    </w:p>
    <w:p w14:paraId="46E52D08">
      <w:pPr>
        <w:spacing w:before="156" w:beforeLines="50" w:line="360" w:lineRule="exact"/>
        <w:jc w:val="center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</w:p>
    <w:p w14:paraId="6833C139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采购人（全称）：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；</w:t>
      </w:r>
    </w:p>
    <w:p w14:paraId="750F9A75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（全称）：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；</w:t>
      </w:r>
    </w:p>
    <w:p w14:paraId="5F6E1B3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依照《中华人民共和国民法典》及其他有关法律、法规，遵循平等、自愿、公平和诚信的原则，双方就下述项目范围与相关服务事项协商一致，订立本合同。</w:t>
      </w:r>
    </w:p>
    <w:p w14:paraId="10147115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一、项目概况</w:t>
      </w:r>
    </w:p>
    <w:p w14:paraId="61F91FB4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1.项目名称：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</w:t>
      </w:r>
    </w:p>
    <w:p w14:paraId="40E29EF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2.项目地点：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；                                                   </w:t>
      </w:r>
    </w:p>
    <w:p w14:paraId="1BE664A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3.项目内容：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40244166">
      <w:pPr>
        <w:ind w:firstLine="482" w:firstLineChars="2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产品名称、品牌、型号、数量及金额</w:t>
      </w:r>
    </w:p>
    <w:tbl>
      <w:tblPr>
        <w:tblStyle w:val="13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488"/>
        <w:gridCol w:w="957"/>
        <w:gridCol w:w="1490"/>
        <w:gridCol w:w="1150"/>
        <w:gridCol w:w="577"/>
        <w:gridCol w:w="568"/>
        <w:gridCol w:w="1630"/>
      </w:tblGrid>
      <w:tr w14:paraId="7C0A25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712536B6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序号</w:t>
            </w:r>
          </w:p>
        </w:tc>
        <w:tc>
          <w:tcPr>
            <w:tcW w:w="1638" w:type="dxa"/>
            <w:vAlign w:val="center"/>
          </w:tcPr>
          <w:p w14:paraId="6939CA49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产品名称（或项目名称）</w:t>
            </w:r>
          </w:p>
        </w:tc>
        <w:tc>
          <w:tcPr>
            <w:tcW w:w="1051" w:type="dxa"/>
            <w:vAlign w:val="center"/>
          </w:tcPr>
          <w:p w14:paraId="5F3F6583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品牌</w:t>
            </w:r>
          </w:p>
        </w:tc>
        <w:tc>
          <w:tcPr>
            <w:tcW w:w="1680" w:type="dxa"/>
            <w:vAlign w:val="center"/>
          </w:tcPr>
          <w:p w14:paraId="768D8F1F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规格型号</w:t>
            </w:r>
          </w:p>
        </w:tc>
        <w:tc>
          <w:tcPr>
            <w:tcW w:w="1199" w:type="dxa"/>
            <w:vAlign w:val="center"/>
          </w:tcPr>
          <w:p w14:paraId="1152D589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单价（元）</w:t>
            </w:r>
          </w:p>
        </w:tc>
        <w:tc>
          <w:tcPr>
            <w:tcW w:w="602" w:type="dxa"/>
            <w:vAlign w:val="center"/>
          </w:tcPr>
          <w:p w14:paraId="666703B0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数量</w:t>
            </w:r>
          </w:p>
        </w:tc>
        <w:tc>
          <w:tcPr>
            <w:tcW w:w="592" w:type="dxa"/>
            <w:vAlign w:val="center"/>
          </w:tcPr>
          <w:p w14:paraId="7A07F172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单位</w:t>
            </w:r>
          </w:p>
        </w:tc>
        <w:tc>
          <w:tcPr>
            <w:tcW w:w="1766" w:type="dxa"/>
            <w:vAlign w:val="center"/>
          </w:tcPr>
          <w:p w14:paraId="457538B1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小计（元）</w:t>
            </w:r>
          </w:p>
        </w:tc>
      </w:tr>
      <w:tr w14:paraId="7A727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28412173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14:paraId="5148F844">
            <w:pPr>
              <w:autoSpaceDE w:val="0"/>
              <w:autoSpaceDN w:val="0"/>
              <w:adjustRightInd w:val="0"/>
              <w:spacing w:line="4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2114572E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DDBFF29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14:paraId="1617567B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14:paraId="07C63FF8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4882EFBA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14:paraId="7408420C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D03A8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447C2B4C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14:paraId="1417488C">
            <w:pPr>
              <w:autoSpaceDE w:val="0"/>
              <w:autoSpaceDN w:val="0"/>
              <w:adjustRightInd w:val="0"/>
              <w:spacing w:line="4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38FB6B4C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2B395311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14:paraId="2810F81B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14:paraId="3C5D0B2B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52843AAA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14:paraId="2DE89730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9A841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64319407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14:paraId="29107833">
            <w:pPr>
              <w:autoSpaceDE w:val="0"/>
              <w:autoSpaceDN w:val="0"/>
              <w:adjustRightInd w:val="0"/>
              <w:spacing w:line="4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2D97243C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257FFC6A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14:paraId="2B3BB34E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14:paraId="7A87B6B8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1613FDFB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14:paraId="46C32210">
            <w:pPr>
              <w:pStyle w:val="5"/>
              <w:jc w:val="center"/>
              <w:outlineLvl w:val="3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ABA16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  <w:vAlign w:val="center"/>
          </w:tcPr>
          <w:p w14:paraId="15605637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14:paraId="1373E0EC">
            <w:pPr>
              <w:autoSpaceDE w:val="0"/>
              <w:autoSpaceDN w:val="0"/>
              <w:adjustRightInd w:val="0"/>
              <w:spacing w:line="4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51" w:type="dxa"/>
            <w:vAlign w:val="center"/>
          </w:tcPr>
          <w:p w14:paraId="1F3F7168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1B851E49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99" w:type="dxa"/>
            <w:vAlign w:val="center"/>
          </w:tcPr>
          <w:p w14:paraId="001E12ED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2" w:type="dxa"/>
            <w:vAlign w:val="center"/>
          </w:tcPr>
          <w:p w14:paraId="2AC51AA0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92" w:type="dxa"/>
            <w:vAlign w:val="center"/>
          </w:tcPr>
          <w:p w14:paraId="4811786B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6" w:type="dxa"/>
            <w:vAlign w:val="center"/>
          </w:tcPr>
          <w:p w14:paraId="3E0FC85F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DE31A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04" w:type="dxa"/>
          </w:tcPr>
          <w:p w14:paraId="007A1A5A">
            <w:pPr>
              <w:autoSpaceDE w:val="0"/>
              <w:autoSpaceDN w:val="0"/>
              <w:adjustRightInd w:val="0"/>
              <w:spacing w:line="460" w:lineRule="exact"/>
              <w:ind w:firstLine="480" w:firstLineChars="20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14:paraId="06122260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合计金额</w:t>
            </w:r>
          </w:p>
        </w:tc>
        <w:tc>
          <w:tcPr>
            <w:tcW w:w="6890" w:type="dxa"/>
            <w:gridSpan w:val="6"/>
            <w:vAlign w:val="center"/>
          </w:tcPr>
          <w:p w14:paraId="4A2BE0CB">
            <w:pPr>
              <w:autoSpaceDE w:val="0"/>
              <w:autoSpaceDN w:val="0"/>
              <w:adjustRightInd w:val="0"/>
              <w:spacing w:line="460" w:lineRule="exac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大写：   （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</w:p>
        </w:tc>
      </w:tr>
    </w:tbl>
    <w:p w14:paraId="435E5D9E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</w:t>
      </w:r>
    </w:p>
    <w:p w14:paraId="111DC9A1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二、组成本合同的文件</w:t>
      </w:r>
    </w:p>
    <w:p w14:paraId="69C305F6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协议书；</w:t>
      </w:r>
    </w:p>
    <w:p w14:paraId="257C82D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中标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成交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通知书、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、澄清、补充文件（或委托书）；</w:t>
      </w:r>
    </w:p>
    <w:p w14:paraId="64F208F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 相关服务建议书；</w:t>
      </w:r>
    </w:p>
    <w:p w14:paraId="17E42DC1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 附录，即：附表内相关服务的范围和内容；</w:t>
      </w:r>
    </w:p>
    <w:p w14:paraId="57BFEF9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本合同签订后，双方依法签订的补充协议也是本合同文件的组成部分。</w:t>
      </w:r>
    </w:p>
    <w:p w14:paraId="7553113D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三、合同价款</w:t>
      </w:r>
    </w:p>
    <w:p w14:paraId="0F915DF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1.合同金额（大写）：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（￥       ）。</w:t>
      </w:r>
    </w:p>
    <w:p w14:paraId="7CEBB8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2.合同总价即中标价，不受市场价变化或实际工作量变化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的影响。</w:t>
      </w:r>
    </w:p>
    <w:p w14:paraId="6D9F1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成交供应商负责项目实施过程中货物及相关物件的运输、安装、直至其产品在采购人指定地点安装完毕，并经采购人验收合格。对因此而产生的费用以及质保期内的维修、保养等与项目发生的一切费用，全部由成交供应商承担。</w:t>
      </w:r>
    </w:p>
    <w:p w14:paraId="7321C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合同有效期内，合同总价一次包死，包括安装、第三方检测、验收、收费及 完成本项目所需的一切相关费用，不受国家政策性调价或原材料价格变化及外汇汇率变化的影响，并作为最终结算的唯一依据</w:t>
      </w:r>
    </w:p>
    <w:p w14:paraId="3C0BA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四、项目实施地点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采购人指定地点；</w:t>
      </w:r>
    </w:p>
    <w:p w14:paraId="6E2346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交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货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期限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eastAsia="zh-CN"/>
        </w:rPr>
        <w:t>接采购人交货通知起30天内完成安装及调试；</w:t>
      </w:r>
    </w:p>
    <w:p w14:paraId="3EAE64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成交供应商未征得采购人同意和谅解而单方面延迟履行合同期限，将按违约终止合同。</w:t>
      </w:r>
    </w:p>
    <w:p w14:paraId="55263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成交供应商遇到可能妨碍按时完工的情况，应当及时以书面形式通知采购人，说明缘由、拖延的期限等；采购人在收到通知后，尽快进行情况评估并确定是否通过修改合同，酌情延长服务时间或者通过协商加收误期赔偿金。</w:t>
      </w:r>
    </w:p>
    <w:p w14:paraId="67004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如在供货过程中出现不可抗力的原因影响供货时间的，应当及时以书面形式通知采购人，酌情延长服务时间</w:t>
      </w:r>
    </w:p>
    <w:p w14:paraId="665C1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质保期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：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原厂整机质保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两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年。</w:t>
      </w:r>
    </w:p>
    <w:p w14:paraId="160B5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  <w:t>质保期自验收合格之日起算，质保期内，发生质量问题，成交供应商自接到采购人通知后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2小时内响应并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派出专业的维修人员到现场进行检测维修，发生的全部费用由供应商承担，若需送回生产厂，供应商承担往返费用,若供应商在接到通知后未在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小时内派人到场进行维修，则采购人有权自主进行维修，由此产生的费用由供应商承担并赔偿采购人因此造成的损失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重大事故成交供应商应在48小时内解决；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同时定期派技术人员到现场走访，给予检查维护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质保期结束前一个月内，供应商对所供设备进行全面测试，全面保养维护，确保正常运行。</w:t>
      </w:r>
    </w:p>
    <w:p w14:paraId="5B61F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eastAsia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2.终身维护：供应商承诺对本设备提供终身技术支持维修、维护服务，质保期满后，仅收取零配件成本费用，不收取额外上门服务费、技术服务费，长期保障设备正常运行。</w:t>
      </w:r>
    </w:p>
    <w:p w14:paraId="035326C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付款方式：</w:t>
      </w:r>
    </w:p>
    <w:p w14:paraId="06D1E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付款条件说明：自合同签订后，达到付款条件起30日内，支付合同总金额的40.00%。</w:t>
      </w:r>
    </w:p>
    <w:p w14:paraId="7810D3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付款条件说明：项目完成安装、调试、交付并验收合格后，达到付款条件起30日内，支付合同总金额的55.00%。</w:t>
      </w:r>
    </w:p>
    <w:p w14:paraId="10D967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付款条件说明：产品质保期满2年，</w:t>
      </w:r>
      <w:bookmarkStart w:id="3" w:name="_GoBack"/>
      <w:bookmarkEnd w:id="3"/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且无质量问题、售后服务无纠纷。达到付款条件起30日内，支付合同总金额的5%。</w:t>
      </w:r>
    </w:p>
    <w:p w14:paraId="6007F7BC"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六、质量保证：</w:t>
      </w:r>
    </w:p>
    <w:p w14:paraId="550F3ED9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提供的产品及材料必须保证质量可靠，进货渠道正常，配置合理齐全，应全面满足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的要求，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未明确要求的内容，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须按招标产品主流标准配置或以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的补充要求为准。所供产品工艺质量应严格按国家最新发布的规范标准执行，如发生质量问题由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承担全部责任。</w:t>
      </w:r>
    </w:p>
    <w:p w14:paraId="67BBDEE9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应保证所有产品的完好无损包括配套包装，如有缺漏、损坏，由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负责调换、补齐或赔偿。</w:t>
      </w:r>
    </w:p>
    <w:p w14:paraId="4E6CC8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必须严格按照需方要求和国家颁布的有关技术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规范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标准提供货物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。</w:t>
      </w:r>
    </w:p>
    <w:p w14:paraId="55BD0EC4">
      <w:pPr>
        <w:pStyle w:val="2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七、</w:t>
      </w: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val="en-US" w:eastAsia="zh-CN" w:bidi="ar-SA"/>
        </w:rPr>
        <w:t>考核验收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：</w:t>
      </w:r>
    </w:p>
    <w:p w14:paraId="7ED42B2D">
      <w:pPr>
        <w:pStyle w:val="20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（一）现场验收：产品及其备附件到达采购人指定地点后，采购人根据合同要求，在成交供应商和采购人相关负责人双方同时在场的情况下，进行外观验收，确认产地、规格、型号和数量。</w:t>
      </w:r>
    </w:p>
    <w:p w14:paraId="30AD139A"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（二）安装调试：成交供应商应配合采购人的工期要求，负责在现场对产品进行安装、调试和试运行，直至验收合格。成交供应商应提供全部安装、调试过程中所需的材料、设施设备、人工等。</w:t>
      </w:r>
    </w:p>
    <w:p w14:paraId="16F3DD1F"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（三）最终验收：产品安装调试和运行后，由成交供应商向采购人递交产品安装调试记录，经采购人确认后，组织成交供应商进行系统验收。验收合格后，填写政府采购项目验收单作为对产品的最终认可。</w:t>
      </w:r>
    </w:p>
    <w:p w14:paraId="790EB000"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（四）验收依据</w:t>
      </w:r>
    </w:p>
    <w:p w14:paraId="188E5060"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1、</w:t>
      </w:r>
      <w:r>
        <w:rPr>
          <w:rFonts w:hint="eastAsia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磋商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文件、</w:t>
      </w:r>
      <w:r>
        <w:rPr>
          <w:rFonts w:hint="eastAsia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磋商响应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文件、澄清表（函）；</w:t>
      </w:r>
    </w:p>
    <w:p w14:paraId="7608027C"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2、合同及附件文本；</w:t>
      </w:r>
    </w:p>
    <w:p w14:paraId="2F53DC41"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3、合同签订时国家及行业现行的标准和技术规范。</w:t>
      </w:r>
    </w:p>
    <w:p w14:paraId="126E904B">
      <w:pPr>
        <w:pStyle w:val="2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（五）成交供应商应向采购人提交项目实施过程中的所有资料，以便采购人日后管理和维护。</w:t>
      </w:r>
    </w:p>
    <w:p w14:paraId="52944F75">
      <w:p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八、违约责任：</w:t>
      </w:r>
    </w:p>
    <w:p w14:paraId="4AF2237E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1.按《中华人民共和国政府采购法》、《中华人民共和国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民法典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》中的相关条款执行。</w:t>
      </w:r>
    </w:p>
    <w:p w14:paraId="75E261B5">
      <w:pPr>
        <w:tabs>
          <w:tab w:val="left" w:pos="152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2.未按合同或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要求提供产品或供应的产品质量不能满足采购人技术要求，采购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有权终止合同，甚至对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标人违约行为进行追究。</w:t>
      </w:r>
    </w:p>
    <w:p w14:paraId="4BE5F2C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中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标人的</w:t>
      </w:r>
      <w:r>
        <w:rPr>
          <w:rFonts w:hint="eastAsia" w:hAnsi="宋体" w:cs="宋体"/>
          <w:color w:val="auto"/>
          <w:sz w:val="24"/>
          <w:szCs w:val="24"/>
          <w:highlight w:val="none"/>
          <w:lang w:eastAsia="zh-CN"/>
        </w:rPr>
        <w:t>响应文件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为签订正式书面合同书不可分割的部分，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中标人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应履行相应的责任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。</w:t>
      </w:r>
    </w:p>
    <w:p w14:paraId="53742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、合同争议的解决</w:t>
      </w:r>
    </w:p>
    <w:p w14:paraId="02F93C5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合同执行中发生争议的，当事人双方应协商解决，协商达不成一致时，可向采购人所在地人民法院提请诉讼。</w:t>
      </w:r>
    </w:p>
    <w:p w14:paraId="094BF4FC"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十、不可抗力情况下的免责约定</w:t>
      </w:r>
    </w:p>
    <w:p w14:paraId="1C5B79AE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2315A609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、其他（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在合同中具体明确）</w:t>
      </w:r>
    </w:p>
    <w:p w14:paraId="07CF36A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、合同订立</w:t>
      </w:r>
    </w:p>
    <w:p w14:paraId="7ADC5A96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订立时间：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日。</w:t>
      </w:r>
    </w:p>
    <w:p w14:paraId="43398299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订立地点：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5CBE3FC0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 本合同一式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份，具有同等法律效力，双方各执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份，监管部门备案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贰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份。各方签字盖章后生效，合同执行完毕自动失效。（合同的服务承诺则长期有效）。</w:t>
      </w:r>
    </w:p>
    <w:p w14:paraId="681ABCA7">
      <w:pPr>
        <w:pStyle w:val="2"/>
        <w:rPr>
          <w:rFonts w:hint="eastAsia"/>
        </w:rPr>
      </w:pPr>
    </w:p>
    <w:p w14:paraId="724541BC">
      <w:pPr>
        <w:pStyle w:val="10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43AA8E4">
      <w:pPr>
        <w:tabs>
          <w:tab w:val="left" w:pos="480"/>
        </w:tabs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甲  方（公章）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</w:t>
      </w:r>
      <w:r>
        <w:rPr>
          <w:rFonts w:hint="eastAsia" w:ascii="宋体" w:hAnsi="宋体" w:eastAsia="宋体" w:cs="宋体"/>
          <w:b/>
          <w:color w:val="auto"/>
          <w:sz w:val="24"/>
          <w:szCs w:val="24"/>
        </w:rPr>
        <w:t xml:space="preserve">乙  方（公章）         </w:t>
      </w:r>
    </w:p>
    <w:p w14:paraId="25619BDA">
      <w:pPr>
        <w:tabs>
          <w:tab w:val="left" w:pos="4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单位名称：                    单位名称：                </w:t>
      </w:r>
    </w:p>
    <w:p w14:paraId="5029E460">
      <w:pPr>
        <w:tabs>
          <w:tab w:val="left" w:pos="4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地    址：                    地    址：               </w:t>
      </w:r>
    </w:p>
    <w:p w14:paraId="7541EC75">
      <w:pPr>
        <w:tabs>
          <w:tab w:val="left" w:pos="4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代 理 人：                    代 理 人：              </w:t>
      </w:r>
    </w:p>
    <w:p w14:paraId="7307F722">
      <w:pPr>
        <w:tabs>
          <w:tab w:val="left" w:pos="4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联系电话：                    联系电话：               </w:t>
      </w:r>
    </w:p>
    <w:p w14:paraId="106F861A">
      <w:pPr>
        <w:tabs>
          <w:tab w:val="left" w:pos="4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账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号：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账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号：</w:t>
      </w:r>
    </w:p>
    <w:p w14:paraId="2E453912">
      <w:pPr>
        <w:tabs>
          <w:tab w:val="left" w:pos="4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开户银行：                    开户银行： </w:t>
      </w:r>
    </w:p>
    <w:p w14:paraId="5E2D6331">
      <w:pPr>
        <w:tabs>
          <w:tab w:val="left" w:pos="480"/>
        </w:tabs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签订日期：                    签订日期：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C7C9A0"/>
    <w:multiLevelType w:val="singleLevel"/>
    <w:tmpl w:val="65C7C9A0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2368D"/>
    <w:rsid w:val="0002368D"/>
    <w:rsid w:val="0069744B"/>
    <w:rsid w:val="00EB64F7"/>
    <w:rsid w:val="013712F7"/>
    <w:rsid w:val="01787946"/>
    <w:rsid w:val="0314369E"/>
    <w:rsid w:val="03DE6AA9"/>
    <w:rsid w:val="040C25C7"/>
    <w:rsid w:val="051E0AC9"/>
    <w:rsid w:val="067F693B"/>
    <w:rsid w:val="09007ABB"/>
    <w:rsid w:val="0B6E3B68"/>
    <w:rsid w:val="0B963AEC"/>
    <w:rsid w:val="0CCA6123"/>
    <w:rsid w:val="0E6B438E"/>
    <w:rsid w:val="0EB12323"/>
    <w:rsid w:val="0FD541B5"/>
    <w:rsid w:val="11B623C1"/>
    <w:rsid w:val="12CF1390"/>
    <w:rsid w:val="141A1D72"/>
    <w:rsid w:val="148A7C64"/>
    <w:rsid w:val="1689314F"/>
    <w:rsid w:val="19A846E9"/>
    <w:rsid w:val="206770AC"/>
    <w:rsid w:val="209D487B"/>
    <w:rsid w:val="22A61E5D"/>
    <w:rsid w:val="22D16A5E"/>
    <w:rsid w:val="23FC5CD9"/>
    <w:rsid w:val="29315699"/>
    <w:rsid w:val="2E0C3364"/>
    <w:rsid w:val="2E9952F6"/>
    <w:rsid w:val="30BC6FA0"/>
    <w:rsid w:val="311F0C04"/>
    <w:rsid w:val="328533C1"/>
    <w:rsid w:val="35B274EE"/>
    <w:rsid w:val="3652205D"/>
    <w:rsid w:val="369D33CF"/>
    <w:rsid w:val="37F54B45"/>
    <w:rsid w:val="39382D1D"/>
    <w:rsid w:val="3AB605BC"/>
    <w:rsid w:val="3C232CEC"/>
    <w:rsid w:val="3D491BBB"/>
    <w:rsid w:val="3EC768F4"/>
    <w:rsid w:val="3F567AC1"/>
    <w:rsid w:val="41322966"/>
    <w:rsid w:val="41673C9E"/>
    <w:rsid w:val="43776D56"/>
    <w:rsid w:val="43AA44D4"/>
    <w:rsid w:val="4A534812"/>
    <w:rsid w:val="4D907392"/>
    <w:rsid w:val="4F7D56F4"/>
    <w:rsid w:val="4FE81330"/>
    <w:rsid w:val="52287B99"/>
    <w:rsid w:val="532D11DF"/>
    <w:rsid w:val="571903F8"/>
    <w:rsid w:val="5BCD355F"/>
    <w:rsid w:val="5C0D1BAE"/>
    <w:rsid w:val="5DED613B"/>
    <w:rsid w:val="5F342B25"/>
    <w:rsid w:val="60194FC5"/>
    <w:rsid w:val="639A229E"/>
    <w:rsid w:val="659A0956"/>
    <w:rsid w:val="69D65CD5"/>
    <w:rsid w:val="69F10D61"/>
    <w:rsid w:val="6AAD1319"/>
    <w:rsid w:val="706627F5"/>
    <w:rsid w:val="7152346C"/>
    <w:rsid w:val="71F202A4"/>
    <w:rsid w:val="73AB01D2"/>
    <w:rsid w:val="76C75323"/>
    <w:rsid w:val="77DB2A34"/>
    <w:rsid w:val="79181E66"/>
    <w:rsid w:val="79DC6166"/>
    <w:rsid w:val="7B340AAD"/>
    <w:rsid w:val="7E25732C"/>
    <w:rsid w:val="7F0C29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nhideWhenUsed="0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4">
    <w:name w:val="heading 2"/>
    <w:basedOn w:val="1"/>
    <w:next w:val="1"/>
    <w:link w:val="15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6">
    <w:name w:val="Normal Indent"/>
    <w:basedOn w:val="1"/>
    <w:next w:val="1"/>
    <w:unhideWhenUsed/>
    <w:qFormat/>
    <w:uiPriority w:val="99"/>
    <w:pPr>
      <w:ind w:firstLine="420" w:firstLineChars="200"/>
    </w:pPr>
    <w:rPr>
      <w:rFonts w:ascii="宋体" w:hAnsi="Times New Roman" w:eastAsia="宋体" w:cs="Times New Roman"/>
      <w:kern w:val="0"/>
      <w:sz w:val="24"/>
      <w:szCs w:val="20"/>
    </w:rPr>
  </w:style>
  <w:style w:type="paragraph" w:styleId="7">
    <w:name w:val="Body Text"/>
    <w:basedOn w:val="1"/>
    <w:next w:val="1"/>
    <w:link w:val="17"/>
    <w:qFormat/>
    <w:uiPriority w:val="1"/>
    <w:rPr>
      <w:rFonts w:ascii="Times New Roman" w:hAnsi="Times New Roman" w:eastAsia="Times New Roman" w:cs="Times New Roman"/>
      <w:sz w:val="22"/>
      <w:lang w:val="zh-CN" w:bidi="zh-CN"/>
    </w:rPr>
  </w:style>
  <w:style w:type="paragraph" w:styleId="8">
    <w:name w:val="Body Text Indent"/>
    <w:basedOn w:val="1"/>
    <w:link w:val="18"/>
    <w:qFormat/>
    <w:uiPriority w:val="0"/>
    <w:pPr>
      <w:ind w:firstLine="360"/>
    </w:pPr>
    <w:rPr>
      <w:rFonts w:hAnsi="Calibri" w:eastAsia="宋体" w:cs="Times New Roman"/>
      <w:sz w:val="24"/>
    </w:rPr>
  </w:style>
  <w:style w:type="paragraph" w:styleId="9">
    <w:name w:val="Plain Text"/>
    <w:basedOn w:val="1"/>
    <w:link w:val="19"/>
    <w:qFormat/>
    <w:uiPriority w:val="0"/>
    <w:rPr>
      <w:rFonts w:ascii="宋体" w:hAnsi="Courier New" w:cs="Courier New"/>
      <w:szCs w:val="21"/>
    </w:rPr>
  </w:style>
  <w:style w:type="paragraph" w:styleId="10">
    <w:name w:val="footer"/>
    <w:basedOn w:val="1"/>
    <w:next w:val="7"/>
    <w:unhideWhenUsed/>
    <w:qFormat/>
    <w:uiPriority w:val="9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11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标题 2 Char"/>
    <w:basedOn w:val="14"/>
    <w:link w:val="4"/>
    <w:semiHidden/>
    <w:qFormat/>
    <w:uiPriority w:val="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6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kern w:val="0"/>
      <w:sz w:val="22"/>
      <w:szCs w:val="21"/>
      <w:lang w:val="en-US" w:eastAsia="zh-CN" w:bidi="ar-SA"/>
    </w:rPr>
  </w:style>
  <w:style w:type="character" w:customStyle="1" w:styleId="17">
    <w:name w:val="正文文本 Char"/>
    <w:basedOn w:val="14"/>
    <w:link w:val="7"/>
    <w:qFormat/>
    <w:uiPriority w:val="1"/>
    <w:rPr>
      <w:rFonts w:ascii="Times New Roman" w:hAnsi="Times New Roman" w:eastAsia="Times New Roman" w:cs="Times New Roman"/>
      <w:sz w:val="22"/>
      <w:lang w:val="zh-CN" w:bidi="zh-CN"/>
    </w:rPr>
  </w:style>
  <w:style w:type="character" w:customStyle="1" w:styleId="18">
    <w:name w:val="正文文本缩进 Char"/>
    <w:basedOn w:val="14"/>
    <w:link w:val="8"/>
    <w:qFormat/>
    <w:uiPriority w:val="0"/>
    <w:rPr>
      <w:rFonts w:hAnsi="Calibri" w:eastAsia="宋体" w:cs="Times New Roman"/>
      <w:sz w:val="24"/>
    </w:rPr>
  </w:style>
  <w:style w:type="character" w:customStyle="1" w:styleId="19">
    <w:name w:val="纯文本 Char"/>
    <w:basedOn w:val="14"/>
    <w:link w:val="9"/>
    <w:qFormat/>
    <w:uiPriority w:val="0"/>
    <w:rPr>
      <w:rFonts w:ascii="宋体" w:hAnsi="Courier New" w:cs="Courier New"/>
      <w:szCs w:val="21"/>
    </w:rPr>
  </w:style>
  <w:style w:type="paragraph" w:customStyle="1" w:styleId="20">
    <w:name w:val="null3"/>
    <w:hidden/>
    <w:qFormat/>
    <w:uiPriority w:val="0"/>
    <w:rPr>
      <w:rFonts w:ascii="宋体" w:hAnsi="宋体" w:eastAsia="宋体" w:cstheme="minorBidi"/>
      <w:b/>
      <w:kern w:val="0"/>
      <w:sz w:val="20"/>
      <w:szCs w:val="20"/>
      <w:lang w:val="en-US" w:eastAsia="zh-CN" w:bidi="en-US"/>
    </w:rPr>
  </w:style>
  <w:style w:type="paragraph" w:customStyle="1" w:styleId="21">
    <w:name w:val="列出段落1"/>
    <w:basedOn w:val="1"/>
    <w:qFormat/>
    <w:uiPriority w:val="0"/>
    <w:pPr>
      <w:ind w:firstLine="420" w:firstLineChars="200"/>
    </w:pPr>
    <w:rPr>
      <w:szCs w:val="21"/>
    </w:rPr>
  </w:style>
  <w:style w:type="character" w:customStyle="1" w:styleId="22">
    <w:name w:val="标题 1 Char"/>
    <w:link w:val="3"/>
    <w:qFormat/>
    <w:uiPriority w:val="0"/>
    <w:rPr>
      <w:rFonts w:ascii="仿宋_GB2312" w:hAnsi="宋体" w:eastAsia="仿宋_GB2312"/>
      <w:b/>
      <w:kern w:val="2"/>
      <w:sz w:val="32"/>
    </w:rPr>
  </w:style>
  <w:style w:type="paragraph" w:customStyle="1" w:styleId="23">
    <w:name w:val="Body text|4"/>
    <w:basedOn w:val="1"/>
    <w:qFormat/>
    <w:uiPriority w:val="0"/>
    <w:pPr>
      <w:widowControl w:val="0"/>
      <w:shd w:val="clear" w:color="auto" w:fill="auto"/>
      <w:spacing w:line="410" w:lineRule="exact"/>
      <w:ind w:firstLine="68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2348</Words>
  <Characters>2387</Characters>
  <Lines>79</Lines>
  <Paragraphs>22</Paragraphs>
  <TotalTime>29</TotalTime>
  <ScaleCrop>false</ScaleCrop>
  <LinksUpToDate>false</LinksUpToDate>
  <CharactersWithSpaces>3067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2025-05-18T11:27:00Z</dcterms:created>
  <dc:creator>Windows 用户</dc:creator>
  <cp:lastModifiedBy>WY</cp:lastModifiedBy>
  <dcterms:modified xsi:type="dcterms:W3CDTF">2026-03-31T00:50:05Z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eyJoZGlkIjoiYWNlZDgxNjAwZTA2NmQyZWM5YmEzZGY2MWNmYjliNTEiLCJ1c2VySWQiOiIzMTg3MTM2MDUifQ==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0D373C61DA8C472D87979D342C52BEDE_12</vt:lpwstr>
  </property>
</Properties>
</file>