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版本号：【KRDL】K3-260303120260403001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彩色超声诊断仪采购项目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【KRDL】K3-2603031</w:t>
      </w:r>
      <w:r>
        <w:br/>
      </w:r>
      <w:r>
        <w:br/>
      </w:r>
      <w:r>
        <w:br/>
      </w:r>
    </w:p>
    <w:p>
      <w:pPr>
        <w:pStyle w:val="null3"/>
        <w:jc w:val="center"/>
        <w:outlineLvl w:val="2"/>
      </w:pPr>
      <w:r>
        <w:rPr>
          <w:rFonts w:ascii="仿宋_GB2312" w:hAnsi="仿宋_GB2312" w:cs="仿宋_GB2312" w:eastAsia="仿宋_GB2312"/>
          <w:sz w:val="28"/>
          <w:b/>
        </w:rPr>
        <w:t>西安市未央区草滩社区卫生服务中心</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西安市未央区草滩社区卫生服务中心</w:t>
      </w:r>
      <w:r>
        <w:rPr>
          <w:rFonts w:ascii="仿宋_GB2312" w:hAnsi="仿宋_GB2312" w:cs="仿宋_GB2312" w:eastAsia="仿宋_GB2312"/>
        </w:rPr>
        <w:t>委托，拟对</w:t>
      </w:r>
      <w:r>
        <w:rPr>
          <w:rFonts w:ascii="仿宋_GB2312" w:hAnsi="仿宋_GB2312" w:cs="仿宋_GB2312" w:eastAsia="仿宋_GB2312"/>
        </w:rPr>
        <w:t>彩色超声诊断仪采购项目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【KRDL】K3-2603031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彩色超声诊断仪采购项目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本项目拟采购1台彩色超声诊断仪，主要应用于心脏、腹部、妇产、泌尿、浅表组织与小器官、外周血管、小儿与新生儿、术中、穿刺等全身超声检查等。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1、具有独立承担民事责任的能力：供应商为向采购人提供货物的法人或其他组织；</w:t>
      </w:r>
    </w:p>
    <w:p>
      <w:pPr>
        <w:pStyle w:val="null3"/>
      </w:pPr>
      <w:r>
        <w:rPr>
          <w:rFonts w:ascii="仿宋_GB2312" w:hAnsi="仿宋_GB2312" w:cs="仿宋_GB2312" w:eastAsia="仿宋_GB2312"/>
        </w:rPr>
        <w:t>2、参加政府采购活动前3年内在经营活动中没有重大违法记录（提供响应函）：参加政府采购活动前3年内在经营活动中没有重大违法记录（提供响应函）；</w:t>
      </w:r>
    </w:p>
    <w:p>
      <w:pPr>
        <w:pStyle w:val="null3"/>
      </w:pPr>
      <w:r>
        <w:rPr>
          <w:rFonts w:ascii="仿宋_GB2312" w:hAnsi="仿宋_GB2312" w:cs="仿宋_GB2312" w:eastAsia="仿宋_GB2312"/>
        </w:rPr>
        <w:t>3、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提供承诺书）；：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提供承诺书）；</w:t>
      </w:r>
    </w:p>
    <w:p>
      <w:pPr>
        <w:pStyle w:val="null3"/>
      </w:pPr>
      <w:r>
        <w:rPr>
          <w:rFonts w:ascii="仿宋_GB2312" w:hAnsi="仿宋_GB2312" w:cs="仿宋_GB2312" w:eastAsia="仿宋_GB2312"/>
        </w:rPr>
        <w:t>4、所投产品为医疗器械的资质要求：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响应）医疗器械非全部为自身生产的，应按照现行医疗器械生产及销售的有关法律法规的规定，提供有效的医疗器械相应的生产厂家的医疗器械生产许可证或医疗器械生产备案凭证，并提供全部所投医疗器械的有效医疗器械注册证或医疗器械备案凭证。同时提供供应商合法有效的相应医疗器械经营许可证或医疗器械经营备案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西安市未央区草滩社区卫生服务中心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西安市未央区建元二路兴隆苑3、4号楼裙楼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西安市未央区草滩社区卫生服务中心经办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029-86302310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邱斯思、张晨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029-89563179、13679275911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和国家发展和改革委员会办公厅颁发的《关于招标代理服务收费有关问题的通知》（发改办价格[2003] 857号）的有关规定标准计算，向采购代理机构一次付清代理服务费。备注：在对采购代理服务费转账时需备注项目名称+采购代理服务费。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西安市未央区草滩社区卫生服务中心</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西安市未央区草滩社区卫生服务中心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联系人：邱斯思、张晨</w:t>
      </w:r>
    </w:p>
    <w:p>
      <w:pPr>
        <w:pStyle w:val="null3"/>
      </w:pPr>
      <w:r>
        <w:rPr>
          <w:rFonts w:ascii="仿宋_GB2312" w:hAnsi="仿宋_GB2312" w:cs="仿宋_GB2312" w:eastAsia="仿宋_GB2312"/>
        </w:rPr>
        <w:t>联系电话：029-89563179</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本项目拟采购1台彩色超声诊断仪，主要应用于心脏、腹部、妇产、泌尿、浅表组织与小器官、外周血管、小儿与新生儿、术中、穿刺等全身超声检查等。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418,000.00</w:t>
      </w:r>
    </w:p>
    <w:p>
      <w:pPr>
        <w:pStyle w:val="null3"/>
      </w:pPr>
      <w:r>
        <w:rPr>
          <w:rFonts w:ascii="仿宋_GB2312" w:hAnsi="仿宋_GB2312" w:cs="仿宋_GB2312" w:eastAsia="仿宋_GB2312"/>
        </w:rPr>
        <w:t>采购包最高限价（元）: 418,000.00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彩色超声诊断仪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418,000.00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标的名称：彩色超声诊断仪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一、技术参数及规格</w:t>
            </w:r>
          </w:p>
          <w:p>
            <w:pPr>
              <w:pStyle w:val="null3"/>
            </w:pPr>
            <w:r>
              <w:rPr>
                <w:rFonts w:ascii="仿宋_GB2312" w:hAnsi="仿宋_GB2312" w:cs="仿宋_GB2312" w:eastAsia="仿宋_GB2312"/>
              </w:rPr>
              <w:t>1.高分辨液晶显示器≥21英寸。</w:t>
            </w:r>
          </w:p>
          <w:p>
            <w:pPr>
              <w:pStyle w:val="null3"/>
            </w:pPr>
            <w:r>
              <w:rPr>
                <w:rFonts w:ascii="仿宋_GB2312" w:hAnsi="仿宋_GB2312" w:cs="仿宋_GB2312" w:eastAsia="仿宋_GB2312"/>
              </w:rPr>
              <w:t>2.液晶触摸屏≥12英寸，触摸屏具备手势自定义功能。</w:t>
            </w:r>
          </w:p>
          <w:p>
            <w:pPr>
              <w:pStyle w:val="null3"/>
            </w:pPr>
            <w:r>
              <w:rPr>
                <w:rFonts w:ascii="仿宋_GB2312" w:hAnsi="仿宋_GB2312" w:cs="仿宋_GB2312" w:eastAsia="仿宋_GB2312"/>
              </w:rPr>
              <w:t>3.内置固态硬盘容量≥500GB。</w:t>
            </w:r>
          </w:p>
          <w:p>
            <w:pPr>
              <w:pStyle w:val="null3"/>
            </w:pPr>
            <w:r>
              <w:rPr>
                <w:rFonts w:ascii="仿宋_GB2312" w:hAnsi="仿宋_GB2312" w:cs="仿宋_GB2312" w:eastAsia="仿宋_GB2312"/>
              </w:rPr>
              <w:t>4.频谱多普勒最大测量速度：PW≥20m/s;CW≥40m/s(附相关证明材料)；最小测量速度：≤1mm/s。</w:t>
            </w:r>
          </w:p>
          <w:p>
            <w:pPr>
              <w:pStyle w:val="null3"/>
            </w:pPr>
            <w:r>
              <w:rPr>
                <w:rFonts w:ascii="仿宋_GB2312" w:hAnsi="仿宋_GB2312" w:cs="仿宋_GB2312" w:eastAsia="仿宋_GB2312"/>
              </w:rPr>
              <w:t>5.根据人体组织真实情况匹配至最佳声速。</w:t>
            </w:r>
          </w:p>
          <w:p>
            <w:pPr>
              <w:pStyle w:val="null3"/>
            </w:pPr>
            <w:r>
              <w:rPr>
                <w:rFonts w:ascii="仿宋_GB2312" w:hAnsi="仿宋_GB2312" w:cs="仿宋_GB2312" w:eastAsia="仿宋_GB2312"/>
              </w:rPr>
              <w:t>6.空间复合成像技术，具有多种模式，具备多参数调整功能；发射线≥8条（附相关证明材料）。</w:t>
            </w:r>
          </w:p>
          <w:p>
            <w:pPr>
              <w:pStyle w:val="null3"/>
            </w:pPr>
            <w:r>
              <w:rPr>
                <w:rFonts w:ascii="仿宋_GB2312" w:hAnsi="仿宋_GB2312" w:cs="仿宋_GB2312" w:eastAsia="仿宋_GB2312"/>
              </w:rPr>
              <w:t>7.在扫查过程中可实时优化图像参数，切换扫查部位时可保留实时优化功能。</w:t>
            </w:r>
          </w:p>
          <w:p>
            <w:pPr>
              <w:pStyle w:val="null3"/>
            </w:pPr>
            <w:r>
              <w:rPr>
                <w:rFonts w:ascii="仿宋_GB2312" w:hAnsi="仿宋_GB2312" w:cs="仿宋_GB2312" w:eastAsia="仿宋_GB2312"/>
              </w:rPr>
              <w:t>8.宽景成像，用于所有探头。</w:t>
            </w:r>
          </w:p>
          <w:p>
            <w:pPr>
              <w:pStyle w:val="null3"/>
            </w:pPr>
            <w:r>
              <w:rPr>
                <w:rFonts w:ascii="仿宋_GB2312" w:hAnsi="仿宋_GB2312" w:cs="仿宋_GB2312" w:eastAsia="仿宋_GB2312"/>
              </w:rPr>
              <w:t>9.解剖M型和曲线解剖M型，存储的动态图像可重新取M型图。</w:t>
            </w:r>
          </w:p>
          <w:p>
            <w:pPr>
              <w:pStyle w:val="null3"/>
            </w:pPr>
            <w:r>
              <w:rPr>
                <w:rFonts w:ascii="仿宋_GB2312" w:hAnsi="仿宋_GB2312" w:cs="仿宋_GB2312" w:eastAsia="仿宋_GB2312"/>
              </w:rPr>
              <w:t>▲10.血细胞信号显像技术，观察真正的血流动力学成像(附相关证明材料)。</w:t>
            </w:r>
          </w:p>
          <w:p>
            <w:pPr>
              <w:pStyle w:val="null3"/>
            </w:pPr>
            <w:r>
              <w:rPr>
                <w:rFonts w:ascii="仿宋_GB2312" w:hAnsi="仿宋_GB2312" w:cs="仿宋_GB2312" w:eastAsia="仿宋_GB2312"/>
              </w:rPr>
              <w:t>▲11.系统内置操作切面实时指导工具，以图片文字等形式帮助用户快速识别切面(附相关证明材料)。</w:t>
            </w:r>
          </w:p>
          <w:p>
            <w:pPr>
              <w:pStyle w:val="null3"/>
            </w:pPr>
            <w:r>
              <w:rPr>
                <w:rFonts w:ascii="仿宋_GB2312" w:hAnsi="仿宋_GB2312" w:cs="仿宋_GB2312" w:eastAsia="仿宋_GB2312"/>
              </w:rPr>
              <w:t>12.可用外接语音输入设备在图像上添加语音备注，支持回放及存储。</w:t>
            </w:r>
          </w:p>
          <w:p>
            <w:pPr>
              <w:pStyle w:val="null3"/>
            </w:pPr>
            <w:r>
              <w:rPr>
                <w:rFonts w:ascii="仿宋_GB2312" w:hAnsi="仿宋_GB2312" w:cs="仿宋_GB2312" w:eastAsia="仿宋_GB2312"/>
              </w:rPr>
              <w:t>13.多普勒取样容积距离体表的深度可在屏幕上显示(附相关证明材料)。</w:t>
            </w:r>
          </w:p>
          <w:p>
            <w:pPr>
              <w:pStyle w:val="null3"/>
            </w:pPr>
            <w:r>
              <w:rPr>
                <w:rFonts w:ascii="仿宋_GB2312" w:hAnsi="仿宋_GB2312" w:cs="仿宋_GB2312" w:eastAsia="仿宋_GB2312"/>
              </w:rPr>
              <w:t>14.自定义功能按键，可在屏幕上显示的自定义功能≥3个。</w:t>
            </w:r>
          </w:p>
          <w:p>
            <w:pPr>
              <w:pStyle w:val="null3"/>
            </w:pPr>
            <w:r>
              <w:rPr>
                <w:rFonts w:ascii="仿宋_GB2312" w:hAnsi="仿宋_GB2312" w:cs="仿宋_GB2312" w:eastAsia="仿宋_GB2312"/>
              </w:rPr>
              <w:t>15.具有肝回声监测功能，自动测量两个区域的回声强度比值，可随访脂肪肝的治疗疗效，为临床提供诊断依据，能用于所有探头。</w:t>
            </w:r>
          </w:p>
          <w:p>
            <w:pPr>
              <w:pStyle w:val="null3"/>
            </w:pPr>
            <w:r>
              <w:rPr>
                <w:rFonts w:ascii="仿宋_GB2312" w:hAnsi="仿宋_GB2312" w:cs="仿宋_GB2312" w:eastAsia="仿宋_GB2312"/>
              </w:rPr>
              <w:t>16.记录最常用的探头及检查条件，并按照使用频率进行排序，触摸屏上可显示在该条件下最常用的功能键。</w:t>
            </w:r>
          </w:p>
          <w:p>
            <w:pPr>
              <w:pStyle w:val="null3"/>
            </w:pPr>
            <w:r>
              <w:rPr>
                <w:rFonts w:ascii="仿宋_GB2312" w:hAnsi="仿宋_GB2312" w:cs="仿宋_GB2312" w:eastAsia="仿宋_GB2312"/>
              </w:rPr>
              <w:t>二、探头规格</w:t>
            </w:r>
          </w:p>
          <w:p>
            <w:pPr>
              <w:pStyle w:val="null3"/>
            </w:pPr>
            <w:r>
              <w:rPr>
                <w:rFonts w:ascii="仿宋_GB2312" w:hAnsi="仿宋_GB2312" w:cs="仿宋_GB2312" w:eastAsia="仿宋_GB2312"/>
              </w:rPr>
              <w:t>▲1.可根据取样深度的变化，自适应调节探头频率（附相关证明材料）。</w:t>
            </w:r>
          </w:p>
          <w:p>
            <w:pPr>
              <w:pStyle w:val="null3"/>
            </w:pPr>
            <w:r>
              <w:rPr>
                <w:rFonts w:ascii="仿宋_GB2312" w:hAnsi="仿宋_GB2312" w:cs="仿宋_GB2312" w:eastAsia="仿宋_GB2312"/>
              </w:rPr>
              <w:t>2.激活探头接口≥3个。</w:t>
            </w:r>
          </w:p>
          <w:p>
            <w:pPr>
              <w:pStyle w:val="null3"/>
            </w:pPr>
            <w:r>
              <w:rPr>
                <w:rFonts w:ascii="仿宋_GB2312" w:hAnsi="仿宋_GB2312" w:cs="仿宋_GB2312" w:eastAsia="仿宋_GB2312"/>
              </w:rPr>
              <w:t>3.腹部凸阵探头2.0-5.0MHz</w:t>
            </w:r>
          </w:p>
          <w:p>
            <w:pPr>
              <w:pStyle w:val="null3"/>
            </w:pPr>
            <w:r>
              <w:rPr>
                <w:rFonts w:ascii="仿宋_GB2312" w:hAnsi="仿宋_GB2312" w:cs="仿宋_GB2312" w:eastAsia="仿宋_GB2312"/>
              </w:rPr>
              <w:t>4.浅表线阵探头3.6-12.0MHz</w:t>
            </w:r>
          </w:p>
          <w:p>
            <w:pPr>
              <w:pStyle w:val="null3"/>
            </w:pPr>
            <w:r>
              <w:rPr>
                <w:rFonts w:ascii="仿宋_GB2312" w:hAnsi="仿宋_GB2312" w:cs="仿宋_GB2312" w:eastAsia="仿宋_GB2312"/>
              </w:rPr>
              <w:t>▲5.成人相控阵探头2.0-4.0MHz,扫描角度≥120°(附相关证明材料)</w:t>
            </w:r>
          </w:p>
          <w:p>
            <w:pPr>
              <w:pStyle w:val="null3"/>
            </w:pPr>
            <w:r>
              <w:rPr>
                <w:rFonts w:ascii="仿宋_GB2312" w:hAnsi="仿宋_GB2312" w:cs="仿宋_GB2312" w:eastAsia="仿宋_GB2312"/>
              </w:rPr>
              <w:t>三、二维灰阶</w:t>
            </w:r>
          </w:p>
          <w:p>
            <w:pPr>
              <w:pStyle w:val="null3"/>
            </w:pPr>
            <w:r>
              <w:rPr>
                <w:rFonts w:ascii="仿宋_GB2312" w:hAnsi="仿宋_GB2312" w:cs="仿宋_GB2312" w:eastAsia="仿宋_GB2312"/>
              </w:rPr>
              <w:t>1.系统动态范围≥265dB。</w:t>
            </w:r>
          </w:p>
          <w:p>
            <w:pPr>
              <w:pStyle w:val="null3"/>
            </w:pPr>
            <w:r>
              <w:rPr>
                <w:rFonts w:ascii="仿宋_GB2312" w:hAnsi="仿宋_GB2312" w:cs="仿宋_GB2312" w:eastAsia="仿宋_GB2312"/>
              </w:rPr>
              <w:t>2.系统最大探查深度≥30cm。</w:t>
            </w:r>
          </w:p>
          <w:p>
            <w:pPr>
              <w:pStyle w:val="null3"/>
            </w:pPr>
            <w:r>
              <w:rPr>
                <w:rFonts w:ascii="仿宋_GB2312" w:hAnsi="仿宋_GB2312" w:cs="仿宋_GB2312" w:eastAsia="仿宋_GB2312"/>
              </w:rPr>
              <w:t>3.具有256灰阶。</w:t>
            </w:r>
          </w:p>
          <w:p>
            <w:pPr>
              <w:pStyle w:val="null3"/>
            </w:pPr>
            <w:r>
              <w:rPr>
                <w:rFonts w:ascii="仿宋_GB2312" w:hAnsi="仿宋_GB2312" w:cs="仿宋_GB2312" w:eastAsia="仿宋_GB2312"/>
              </w:rPr>
              <w:t>4.凸阵探头最大视角，18cm深度时，二维帧频≥45帧(附相关证明材料)。</w:t>
            </w:r>
          </w:p>
          <w:p>
            <w:pPr>
              <w:pStyle w:val="null3"/>
            </w:pPr>
            <w:r>
              <w:rPr>
                <w:rFonts w:ascii="仿宋_GB2312" w:hAnsi="仿宋_GB2312" w:cs="仿宋_GB2312" w:eastAsia="仿宋_GB2312"/>
              </w:rPr>
              <w:t>5.相控阵探头90°视角，18 cm 深度时，二维帧频≥80帧(附相关证明材料)。</w:t>
            </w:r>
          </w:p>
          <w:p>
            <w:pPr>
              <w:pStyle w:val="null3"/>
            </w:pPr>
            <w:r>
              <w:rPr>
                <w:rFonts w:ascii="仿宋_GB2312" w:hAnsi="仿宋_GB2312" w:cs="仿宋_GB2312" w:eastAsia="仿宋_GB2312"/>
              </w:rPr>
              <w:t>四、测量分析</w:t>
            </w:r>
          </w:p>
          <w:p>
            <w:pPr>
              <w:pStyle w:val="null3"/>
            </w:pPr>
            <w:r>
              <w:rPr>
                <w:rFonts w:ascii="仿宋_GB2312" w:hAnsi="仿宋_GB2312" w:cs="仿宋_GB2312" w:eastAsia="仿宋_GB2312"/>
              </w:rPr>
              <w:t>1.具有双胎及多胎参数测量及生长发育曲线(附相关证明材料)。</w:t>
            </w:r>
          </w:p>
          <w:p>
            <w:pPr>
              <w:pStyle w:val="null3"/>
            </w:pPr>
            <w:r>
              <w:rPr>
                <w:rFonts w:ascii="仿宋_GB2312" w:hAnsi="仿宋_GB2312" w:cs="仿宋_GB2312" w:eastAsia="仿宋_GB2312"/>
              </w:rPr>
              <w:t>2.产科自动测量，包括双顶径、头围、腹围、股骨长、肱骨长等。</w:t>
            </w:r>
          </w:p>
          <w:p>
            <w:pPr>
              <w:pStyle w:val="null3"/>
            </w:pPr>
            <w:r>
              <w:rPr>
                <w:rFonts w:ascii="仿宋_GB2312" w:hAnsi="仿宋_GB2312" w:cs="仿宋_GB2312" w:eastAsia="仿宋_GB2312"/>
              </w:rPr>
              <w:t>3.心脏功能测量与分析。</w:t>
            </w:r>
          </w:p>
          <w:p>
            <w:pPr>
              <w:pStyle w:val="null3"/>
            </w:pPr>
            <w:r>
              <w:rPr>
                <w:rFonts w:ascii="仿宋_GB2312" w:hAnsi="仿宋_GB2312" w:cs="仿宋_GB2312" w:eastAsia="仿宋_GB2312"/>
              </w:rPr>
              <w:t>4.泌尿系统测量与分析。</w:t>
            </w:r>
          </w:p>
          <w:p>
            <w:pPr>
              <w:pStyle w:val="null3"/>
            </w:pPr>
            <w:r>
              <w:rPr>
                <w:rFonts w:ascii="仿宋_GB2312" w:hAnsi="仿宋_GB2312" w:cs="仿宋_GB2312" w:eastAsia="仿宋_GB2312"/>
              </w:rPr>
              <w:t>▲5.乳腺自动测量，自动识别结节、肿瘤等占位病变，自动包络病变轮廓，自动测量计算， 并进行分级评估(附相关证明材料)。</w:t>
            </w:r>
          </w:p>
          <w:p>
            <w:pPr>
              <w:pStyle w:val="null3"/>
            </w:pPr>
            <w:r>
              <w:rPr>
                <w:rFonts w:ascii="仿宋_GB2312" w:hAnsi="仿宋_GB2312" w:cs="仿宋_GB2312" w:eastAsia="仿宋_GB2312"/>
              </w:rPr>
              <w:t>五、易损配件和一次性耗材</w:t>
            </w:r>
          </w:p>
          <w:p>
            <w:pPr>
              <w:pStyle w:val="null3"/>
            </w:pPr>
            <w:r>
              <w:rPr>
                <w:rFonts w:ascii="仿宋_GB2312" w:hAnsi="仿宋_GB2312" w:cs="仿宋_GB2312" w:eastAsia="仿宋_GB2312"/>
              </w:rPr>
              <w:t>供应商需对易损配件和一次性耗材进行报价，所填报的易损配件和一次性耗材费用不包含在本次报价内，仅作为后期采购的依据。</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自合同签订之日起30个日历日内到货、安装调试并交付使用。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西安市未央区草滩社区卫生服务中心指定地点。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成交供应商须按其响应文件中响应的交货期按时交货并提供全额合规发票保证“货票同行”，设备到达采购人指定地点，安装、调试完毕并验收合格后（若成交供应商届时未提供全额合规发票，采购人付款期限顺延，且不承担任何责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验收合格之日起3年后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1.货物到达采购人指定地点后，采购人根据合同要求，进行外观验收，确认产地、规格、型号和数量。双方需在约定的时间和地点共同开箱检验。 2.货物安装、调试过程中，属于国家计量法规定需要检测的设备及配件，成交供应商需提供计量检测部门的检测报告，属于特种设备的，成交供应商需办理注册登记和使用许可，而后能够正常使用时书面通知采购人。 3.成交供应商向采购人提交原厂质保证明文件，要求覆盖成交供应商所承诺的全部原厂维修保养服务期限。 4.采购人确认接收成交供应商的自检内容后，进行验收，验收合格后，由成交供应商对采购人操作人员进行培训，完成培训后，采购人填写验收单作为对货物的最终认可。 5.成交供应商向采购人提交货物实施过程中的所有资料，以便采购人日后管理和维护。 6.验收依据： （1）本项目合同及合同附件。 （2）国家相应的标准、规范。 （3）竞争性磋商文件、响应文件、澄清表（函）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要求提供货物、质保服务或质量不能满足竞争性磋商文件技术要求，在约定的条件下，成交供应商必须无条件更换，提高技术，完善质量，提供质保服务，否则，采购人有权解除合同，解除合同书面通知书到达成交供应商之日视为合同已解除，并按以下两种方式追究成交供应商的违约责任； （3）成交供应商赔偿采购人解除合同的全部损失（包括但不限于重新采购产生的费用、合同未履行导致设备不能按规划交付使用可能产生的租赁费用及其它由此造成的采购人对第三方的违约损失）； （4）成交供应商支付采购人违约金，违约金计算方法：以合同总价为基数，支付采购人合同总价的30%为违约金，同时，对成交供应商的违约行为报监管机构进行相应的处罚。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（1）根据西安市财政局《关于促进政府采购公平竞争优化营商环境的通知》（市财函[2021]431号）文中“第16条规定 供应商登记免费领取采购文件的，如不参与项目投标（响应），应在递交投标（或响应）文件截止时间前一日以书面形式告知采购代理机构。否则，采购代理机构可以向财政部门反映情况并提供相应的佐证。供应商一年内累计出现三次该情形，将被监管部门记录失信行为” （2）本项目未做进口论证，不接受进口产品的投标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 xml:space="preserve"> (1)本项目不专门面向中小企业采购。</w:t>
            </w:r>
          </w:p>
        </w:tc>
        <w:tc>
          <w:tcPr>
            <w:tcW w:type="dxa" w:w="1661"/>
          </w:tcPr>
          <w:p>
            <w:pPr>
              <w:pStyle w:val="null3"/>
            </w:pPr>
            <w:r>
              <w:rPr>
                <w:rFonts w:ascii="仿宋_GB2312" w:hAnsi="仿宋_GB2312" w:cs="仿宋_GB2312" w:eastAsia="仿宋_GB2312"/>
              </w:rPr>
              <w:t>响应文件封面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供应商为向采购人提供货物的法人或其他组织；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参加政府采购活动前3年内在经营活动中没有重大违法记录（提供响应函）</w:t>
            </w:r>
          </w:p>
        </w:tc>
        <w:tc>
          <w:tcPr>
            <w:tcW w:type="dxa" w:w="3322"/>
          </w:tcPr>
          <w:p>
            <w:pPr>
              <w:pStyle w:val="null3"/>
            </w:pPr>
            <w:r>
              <w:rPr>
                <w:rFonts w:ascii="仿宋_GB2312" w:hAnsi="仿宋_GB2312" w:cs="仿宋_GB2312" w:eastAsia="仿宋_GB2312"/>
              </w:rPr>
              <w:t>参加政府采购活动前3年内在经营活动中没有重大违法记录（提供响应函）；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提供承诺书）；</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提供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所投产品为医疗器械的资质要求</w:t>
            </w:r>
          </w:p>
        </w:tc>
        <w:tc>
          <w:tcPr>
            <w:tcW w:type="dxa" w:w="3322"/>
          </w:tcPr>
          <w:p>
            <w:pPr>
              <w:pStyle w:val="null3"/>
            </w:pPr>
            <w:r>
              <w:rPr>
                <w:rFonts w:ascii="仿宋_GB2312" w:hAnsi="仿宋_GB2312" w:cs="仿宋_GB2312" w:eastAsia="仿宋_GB2312"/>
              </w:rPr>
              <w:t>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响应）医疗器械非全部为自身生产的，应按照现行医疗器械生产及销售的有关法律法规的规定，提供有效的医疗器械相应的生产厂家的医疗器械生产许可证或医疗器械生产备案凭证，并提供全部所投医疗器械的有效医疗器械注册证或医疗器械备案凭证。同时提供供应商合法有效的相应医疗器械经营许可证或医疗器械经营备案凭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1.政府采购评审中出现下列情形之一的，磋商小组应当启动异常低价投标（响应）审查程序：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2.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响应文件应当按竞争性磋商文件要求签署、盖章，否则磋商小组应当将其响应文件作为无效处理。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响应文件的报价应当不超过竞争性磋商文件中规定的最高限价，否则磋商小组应当将其响应文件作为无效处理。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响应文件未含有采购人不能接受的附加条件的或其他情形，否则磋商小组应当将其响应文件作为无效处理。</w:t>
            </w:r>
          </w:p>
        </w:tc>
        <w:tc>
          <w:tcPr>
            <w:tcW w:type="dxa" w:w="1661"/>
          </w:tcPr>
          <w:p>
            <w:pPr>
              <w:pStyle w:val="null3"/>
            </w:pPr>
            <w:r>
              <w:rPr>
                <w:rFonts w:ascii="仿宋_GB2312" w:hAnsi="仿宋_GB2312" w:cs="仿宋_GB2312" w:eastAsia="仿宋_GB2312"/>
              </w:rPr>
              <w:t>响应文件封面 产品技术参数表 易损配件及一次性耗材清单.docx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响应文件是否响应本项目商务要求及服务内容及要求中的标记“★”条款</w:t>
            </w:r>
          </w:p>
        </w:tc>
        <w:tc>
          <w:tcPr>
            <w:tcW w:type="dxa" w:w="3322"/>
          </w:tcPr>
          <w:p>
            <w:pPr>
              <w:pStyle w:val="null3"/>
            </w:pPr>
            <w:r>
              <w:rPr>
                <w:rFonts w:ascii="仿宋_GB2312" w:hAnsi="仿宋_GB2312" w:cs="仿宋_GB2312" w:eastAsia="仿宋_GB2312"/>
              </w:rPr>
              <w:t>响应文件响应本项目商务要求及采购内容及要求中的标记“★”条款</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法定代表人直接参加的须提供法定代表人身份证并与营业执照上信息一致；法定代表人授权代表参加的须提供法定代表人授权书及被授权人在本单位证明近三个月内任意一个月的社保缴纳证明资料。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响应文件未发现法律、法规和竞争性磋商文件规定的其他无效情形，否则磋商小组应当将其响应文件作为无效处理。</w:t>
            </w:r>
          </w:p>
        </w:tc>
        <w:tc>
          <w:tcPr>
            <w:tcW w:type="dxa" w:w="1661"/>
          </w:tcPr>
          <w:p>
            <w:pPr>
              <w:pStyle w:val="null3"/>
            </w:pPr>
            <w:r>
              <w:rPr>
                <w:rFonts w:ascii="仿宋_GB2312" w:hAnsi="仿宋_GB2312" w:cs="仿宋_GB2312" w:eastAsia="仿宋_GB2312"/>
              </w:rPr>
              <w:t>产品技术参数表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 应并满足参数需求的得 15分，其中： ①技术参数中标记“▲”项的参数需求为重要技 术参数，每负偏离一项扣1分。 ②技术参数中其他参数为一般技术参数，每负偏离一项扣0.35分，扣完为止。 备注：相应的各参数指标均需提供佐证材料。佐 证材料可以是产品技术说明书或产品彩页或使用 说明书或有资质的第三方出具的检验报告或设备 功能证明及截图等供应商认为可以佐证参数响应 性的材料。供应商对材料的真实性、完整性、有 效性及针对性承担责任，自行承担因材料提供不 全导致技术参数被认定为具体参数不满足或负偏 离的风险。</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供应商提供的产品质量保证措施方案需包含①产品生产的质量保证措施；②产品供货及运输质量保证措施；③产品安装及调试质量保证措施，共3项内容，每项满分3分，总分9分。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产品组织保证措施</w:t>
            </w:r>
          </w:p>
        </w:tc>
        <w:tc>
          <w:tcPr>
            <w:tcW w:type="dxa" w:w="2492"/>
          </w:tcPr>
          <w:p>
            <w:pPr>
              <w:pStyle w:val="null3"/>
            </w:pPr>
            <w:r>
              <w:rPr>
                <w:rFonts w:ascii="仿宋_GB2312" w:hAnsi="仿宋_GB2312" w:cs="仿宋_GB2312" w:eastAsia="仿宋_GB2312"/>
              </w:rPr>
              <w:t>供应商提供的产品组织保证措施方案需包含①组织机构方案②项目实施团队人员情况，共2项内容，每项满分3分，总分6分。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供应商提供的售后保障措施方案需包含①售后服务机构人员配置方案；②保修期外至全寿命周期内零配件及备品备件供应方案；③维修质量管控措施；共3项内容，每项满分3分，总分9分。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w:t>
            </w:r>
          </w:p>
        </w:tc>
        <w:tc>
          <w:tcPr>
            <w:tcW w:type="dxa" w:w="2492"/>
          </w:tcPr>
          <w:p>
            <w:pPr>
              <w:pStyle w:val="null3"/>
            </w:pPr>
            <w:r>
              <w:rPr>
                <w:rFonts w:ascii="仿宋_GB2312" w:hAnsi="仿宋_GB2312" w:cs="仿宋_GB2312" w:eastAsia="仿宋_GB2312"/>
              </w:rPr>
              <w:t>供应商提供的应急事件响应及处理方案需包含①可能发生的应急事故情况分析；②应急响应时间及紧急安全保障措施，共2项内容，每项满分3分，总分6分。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供应商提供的培训方案需包含①技术培训方案；②培训操作手册；共2项内容，每项满分3分，总分6分。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供应商应在响应文件中提供该供应商近三年内的同类业绩证明材料，每提供一份业绩合同的得1分，满分为4分，不得重复累计。 注：以合同签订时间为准，供应商应在响应文件中提供完整合同复印件或扫描件且加盖单位公章。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磋商报价得分=（磋商基准价/最后磋商报价）×45</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投标人符合相应条件时，给予10.00%的价格扣除，即：评标价=投标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详见附件：易损配件及一次性耗材清单.docx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