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2D8E9">
      <w:pPr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28"/>
          <w:szCs w:val="28"/>
          <w:bdr w:val="none" w:color="auto" w:sz="0" w:space="0"/>
          <w:shd w:val="clear" w:fill="FFFFFF"/>
        </w:rPr>
        <w:t>技术部分</w:t>
      </w:r>
    </w:p>
    <w:p w14:paraId="7B4C6478">
      <w:pPr>
        <w:spacing w:line="360" w:lineRule="auto"/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</w:pPr>
    </w:p>
    <w:p w14:paraId="00B93B96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FFFFF"/>
        </w:rPr>
        <w:t>供应商根据采购文件要求和评审办法编写技术方案，除给定图表格式外，其他内容格式自拟。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FjNGUxMjY1NDg0ODg4OGRmY2ZmMGE3NGNlMDQ2NGMifQ=="/>
  </w:docVars>
  <w:rsids>
    <w:rsidRoot w:val="00000000"/>
    <w:rsid w:val="6C55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86180</dc:creator>
  <cp:lastModifiedBy>Queen €</cp:lastModifiedBy>
  <dcterms:modified xsi:type="dcterms:W3CDTF">2024-10-25T12:51:49Z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FBA4BE9DFEE442E495D9933632C499A1_12</vt:lpwstr>
  </property>
</Properties>
</file>