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E0838">
      <w:pPr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  <w:t>前附表</w:t>
      </w:r>
    </w:p>
    <w:tbl>
      <w:tblPr>
        <w:tblStyle w:val="11"/>
        <w:tblW w:w="9312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689"/>
        <w:gridCol w:w="1556"/>
        <w:gridCol w:w="7067"/>
      </w:tblGrid>
      <w:tr w14:paraId="7FC997A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F394C3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  <w:lang w:val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71631D">
            <w:pPr>
              <w:pStyle w:val="34"/>
              <w:ind w:left="38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highlight w:val="none"/>
                <w:lang w:val="zh-CN"/>
              </w:rPr>
              <w:t>关键事项</w:t>
            </w:r>
          </w:p>
        </w:tc>
        <w:tc>
          <w:tcPr>
            <w:tcW w:w="7067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 w14:paraId="29C7545A">
            <w:pPr>
              <w:pStyle w:val="34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highlight w:val="none"/>
                <w:lang w:val="zh-CN"/>
              </w:rPr>
              <w:t>说明和要求</w:t>
            </w:r>
          </w:p>
        </w:tc>
      </w:tr>
      <w:tr w14:paraId="497E03F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3AFAE2">
            <w:pPr>
              <w:snapToGrid w:val="0"/>
              <w:spacing w:after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zh-CN"/>
              </w:rPr>
              <w:t>1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EF5CB6">
            <w:pPr>
              <w:pStyle w:val="34"/>
              <w:ind w:left="38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zh-CN"/>
              </w:rPr>
              <w:t>采购预算</w:t>
            </w:r>
          </w:p>
        </w:tc>
        <w:tc>
          <w:tcPr>
            <w:tcW w:w="7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 w14:paraId="00B394E4">
            <w:pPr>
              <w:pStyle w:val="34"/>
              <w:jc w:val="both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highlight w:val="none"/>
                <w:lang w:val="zh-CN"/>
              </w:rPr>
              <w:t>人民币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>2285500.00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highlight w:val="none"/>
                <w:lang w:val="zh-CN"/>
              </w:rPr>
              <w:t>元</w:t>
            </w:r>
          </w:p>
        </w:tc>
      </w:tr>
      <w:tr w14:paraId="2204CC5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AF7DB8">
            <w:pPr>
              <w:snapToGrid w:val="0"/>
              <w:spacing w:after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zh-CN"/>
              </w:rPr>
              <w:t>2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088FFD">
            <w:pPr>
              <w:pStyle w:val="34"/>
              <w:ind w:left="38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zh-CN"/>
              </w:rPr>
              <w:t>最高限价</w:t>
            </w:r>
          </w:p>
        </w:tc>
        <w:tc>
          <w:tcPr>
            <w:tcW w:w="7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 w14:paraId="07D94C48">
            <w:pPr>
              <w:pStyle w:val="34"/>
              <w:jc w:val="both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highlight w:val="none"/>
                <w:lang w:val="zh-CN"/>
              </w:rPr>
              <w:t>人民币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1534893.16 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highlight w:val="none"/>
                <w:lang w:val="zh-CN"/>
              </w:rPr>
              <w:t>元</w:t>
            </w:r>
          </w:p>
        </w:tc>
      </w:tr>
      <w:tr w14:paraId="2D911D9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DC2439">
            <w:pPr>
              <w:snapToGrid w:val="0"/>
              <w:spacing w:after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zh-CN"/>
              </w:rPr>
              <w:t>3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D91B7C">
            <w:pPr>
              <w:pStyle w:val="34"/>
              <w:ind w:left="38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zh-CN"/>
              </w:rPr>
              <w:t>暂列金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zh-CN"/>
              </w:rPr>
              <w:t>或暂估价</w:t>
            </w:r>
          </w:p>
        </w:tc>
        <w:tc>
          <w:tcPr>
            <w:tcW w:w="7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 w14:paraId="15219138">
            <w:pPr>
              <w:pStyle w:val="34"/>
              <w:jc w:val="both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highlight w:val="none"/>
                <w:lang w:val="zh-CN"/>
              </w:rPr>
              <w:t>人民币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0   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highlight w:val="none"/>
                <w:lang w:val="zh-CN"/>
              </w:rPr>
              <w:t>元</w:t>
            </w:r>
          </w:p>
          <w:p w14:paraId="2F957B67">
            <w:pPr>
              <w:pStyle w:val="34"/>
              <w:jc w:val="both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zh-CN"/>
              </w:rPr>
              <w:t>如有，请列明。</w:t>
            </w:r>
          </w:p>
        </w:tc>
      </w:tr>
      <w:tr w14:paraId="494451A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272478">
            <w:pPr>
              <w:snapToGrid w:val="0"/>
              <w:spacing w:after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zh-CN"/>
              </w:rPr>
              <w:t>4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4A7291">
            <w:pPr>
              <w:pStyle w:val="34"/>
              <w:ind w:left="38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zh-CN"/>
              </w:rPr>
              <w:t>图纸</w:t>
            </w:r>
          </w:p>
        </w:tc>
        <w:tc>
          <w:tcPr>
            <w:tcW w:w="7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 w14:paraId="161E71AF">
            <w:pPr>
              <w:pStyle w:val="34"/>
              <w:jc w:val="both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highlight w:val="none"/>
                <w:lang w:val="zh-CN"/>
              </w:rPr>
              <w:t>有图纸，图纸与工程量清单不一致时以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>工程量清单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highlight w:val="none"/>
                <w:lang w:val="zh-CN"/>
              </w:rPr>
              <w:t>为准。</w:t>
            </w:r>
          </w:p>
          <w:p w14:paraId="744E42E7">
            <w:pPr>
              <w:pStyle w:val="34"/>
              <w:jc w:val="both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highlight w:val="none"/>
                <w:lang w:val="zh-CN"/>
              </w:rPr>
              <w:t>无图纸</w:t>
            </w:r>
          </w:p>
        </w:tc>
      </w:tr>
      <w:tr w14:paraId="7F11725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auto" w:sz="8" w:space="0"/>
              <w:left w:val="single" w:color="auto" w:sz="18" w:space="0"/>
              <w:right w:val="single" w:color="auto" w:sz="8" w:space="0"/>
            </w:tcBorders>
            <w:vAlign w:val="center"/>
          </w:tcPr>
          <w:p w14:paraId="24325053">
            <w:pPr>
              <w:snapToGrid w:val="0"/>
              <w:spacing w:after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zh-CN"/>
              </w:rPr>
              <w:t>5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F7667BD">
            <w:pPr>
              <w:pStyle w:val="34"/>
              <w:ind w:left="38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zh-CN"/>
              </w:rPr>
              <w:t>项目性质</w:t>
            </w:r>
          </w:p>
        </w:tc>
        <w:tc>
          <w:tcPr>
            <w:tcW w:w="7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 w14:paraId="2F89B973">
            <w:pPr>
              <w:pStyle w:val="34"/>
              <w:jc w:val="both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highlight w:val="none"/>
                <w:lang w:val="zh-CN"/>
              </w:rPr>
              <w:t>专门面向中小企业采购</w:t>
            </w:r>
          </w:p>
          <w:p w14:paraId="67FF9E38">
            <w:pPr>
              <w:pStyle w:val="34"/>
              <w:ind w:left="38"/>
              <w:jc w:val="both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zh-CN"/>
              </w:rPr>
              <w:t>仅允许中小企业或小型、微型企业参与投标。</w:t>
            </w:r>
          </w:p>
        </w:tc>
      </w:tr>
      <w:tr w14:paraId="6E88FC8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4C0A02">
            <w:pPr>
              <w:snapToGrid w:val="0"/>
              <w:spacing w:after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E4B2A1">
            <w:pPr>
              <w:pStyle w:val="34"/>
              <w:ind w:left="96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zh-CN"/>
              </w:rPr>
              <w:t>对供应商的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zh-CN"/>
              </w:rPr>
              <w:t>资格要求</w:t>
            </w:r>
          </w:p>
        </w:tc>
        <w:tc>
          <w:tcPr>
            <w:tcW w:w="7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 w14:paraId="1C642954">
            <w:pPr>
              <w:pStyle w:val="34"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highlight w:val="none"/>
                <w:u w:val="no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highlight w:val="none"/>
                <w:u w:val="none"/>
                <w:lang w:val="zh-CN" w:eastAsia="zh-CN"/>
              </w:rPr>
              <w:t>（一）基本资格条件：符合《中华人民共和国政府采购法》第二十二条的规定；</w:t>
            </w:r>
          </w:p>
          <w:p w14:paraId="60F1E83F">
            <w:pPr>
              <w:pStyle w:val="34"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highlight w:val="none"/>
                <w:u w:val="no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highlight w:val="none"/>
                <w:u w:val="none"/>
                <w:lang w:val="zh-CN" w:eastAsia="zh-CN"/>
              </w:rPr>
              <w:t>（二）特定资格条件：</w:t>
            </w:r>
          </w:p>
          <w:p w14:paraId="609B51EA">
            <w:pPr>
              <w:pStyle w:val="34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zh-CN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zh-CN" w:eastAsia="zh-CN"/>
              </w:rPr>
              <w:t>）法定代表人授权书及被授权人身份证（法定代表人直接参加投标，须提供法定代表人身份证明及身份证原件）；</w:t>
            </w:r>
          </w:p>
          <w:p w14:paraId="45579A0C">
            <w:pPr>
              <w:pStyle w:val="34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zh-CN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zh-CN" w:eastAsia="zh-CN"/>
              </w:rPr>
              <w:t>）具有建设行政主管部门核发的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shd w:val="clear" w:color="auto" w:fill="FFFFFF"/>
              </w:rPr>
              <w:t>市政公用工程施工总承包三级及以上资质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zh-CN" w:eastAsia="zh-CN"/>
              </w:rPr>
              <w:t>，并具有合格有效的安全生产许可证；</w:t>
            </w:r>
          </w:p>
          <w:p w14:paraId="0EDBD5B9">
            <w:pPr>
              <w:pStyle w:val="34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zh-CN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zh-CN" w:eastAsia="zh-CN"/>
              </w:rPr>
              <w:t>）投标人拟派项目经理须具有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市政公用工程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zh-CN" w:eastAsia="zh-CN"/>
              </w:rPr>
              <w:t>专业注册建造师二级及以上证书和安全生产考核合格证书B证，在本单位注册且无在建项目；</w:t>
            </w:r>
          </w:p>
          <w:p w14:paraId="44361D9C">
            <w:pPr>
              <w:pStyle w:val="34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（4）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zh-CN" w:eastAsia="zh-CN"/>
              </w:rPr>
              <w:t>供应商基本信息及项目经理（注册建造师）人员基本信息应在“陕西建设网（ http://js.shaanxi.gov.cn/ ）陕西省建筑市场监管与诚信信息发布平台可查询，提供相关信息截图。</w:t>
            </w:r>
          </w:p>
          <w:p w14:paraId="137B3023">
            <w:pPr>
              <w:pStyle w:val="34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（5）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zh-CN" w:eastAsia="zh-CN"/>
              </w:rPr>
              <w:t>本项目不接受联合体投标；单位负责人为同一人或者存在控股、管理关系的不同单位，不得参加同一项目的投标；</w:t>
            </w:r>
          </w:p>
        </w:tc>
      </w:tr>
      <w:tr w14:paraId="53641C3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70" w:hRule="atLeast"/>
          <w:jc w:val="center"/>
        </w:trPr>
        <w:tc>
          <w:tcPr>
            <w:tcW w:w="689" w:type="dxa"/>
            <w:tcBorders>
              <w:top w:val="single" w:color="auto" w:sz="8" w:space="0"/>
              <w:left w:val="single" w:color="auto" w:sz="18" w:space="0"/>
              <w:right w:val="single" w:color="auto" w:sz="8" w:space="0"/>
            </w:tcBorders>
            <w:vAlign w:val="center"/>
          </w:tcPr>
          <w:p w14:paraId="6BDEB394">
            <w:pPr>
              <w:snapToGrid w:val="0"/>
              <w:spacing w:after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7DE529AF">
            <w:pPr>
              <w:pStyle w:val="34"/>
              <w:ind w:left="96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zh-CN"/>
              </w:rPr>
              <w:t>是否接受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zh-CN"/>
              </w:rPr>
              <w:t>联合体投标</w:t>
            </w:r>
          </w:p>
        </w:tc>
        <w:tc>
          <w:tcPr>
            <w:tcW w:w="7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 w14:paraId="3EA13693">
            <w:pPr>
              <w:pStyle w:val="34"/>
              <w:jc w:val="both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highlight w:val="none"/>
                <w:lang w:val="zh-CN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highlight w:val="none"/>
                <w:lang w:val="zh-CN"/>
              </w:rPr>
              <w:t>不接受</w:t>
            </w:r>
          </w:p>
        </w:tc>
      </w:tr>
      <w:tr w14:paraId="7BAFFA6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auto" w:sz="8" w:space="0"/>
              <w:left w:val="single" w:color="auto" w:sz="18" w:space="0"/>
              <w:right w:val="single" w:color="auto" w:sz="8" w:space="0"/>
            </w:tcBorders>
            <w:vAlign w:val="center"/>
          </w:tcPr>
          <w:p w14:paraId="48540366">
            <w:pPr>
              <w:snapToGrid w:val="0"/>
              <w:spacing w:after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F8816C1">
            <w:pPr>
              <w:pStyle w:val="34"/>
              <w:ind w:left="96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zh-CN"/>
              </w:rPr>
              <w:t>履约保证金</w:t>
            </w:r>
          </w:p>
        </w:tc>
        <w:tc>
          <w:tcPr>
            <w:tcW w:w="7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 w14:paraId="5DF0184B">
            <w:pPr>
              <w:ind w:right="94" w:rightChars="45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占政府采购合同金额的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0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%</w:t>
            </w:r>
          </w:p>
          <w:p w14:paraId="75C08071">
            <w:pPr>
              <w:ind w:right="94" w:rightChars="45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履约保证金的数额不得超过政府采购合同金额的10%；对于单价合同，其数额不得超过采购预算的10%</w:t>
            </w:r>
          </w:p>
        </w:tc>
      </w:tr>
      <w:tr w14:paraId="275C498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40114C">
            <w:pPr>
              <w:snapToGrid w:val="0"/>
              <w:spacing w:after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FDB9CD">
            <w:pPr>
              <w:pStyle w:val="34"/>
              <w:ind w:left="96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zh-CN"/>
              </w:rPr>
              <w:t>现场踏勘和集中答疑</w:t>
            </w:r>
          </w:p>
        </w:tc>
        <w:tc>
          <w:tcPr>
            <w:tcW w:w="7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 w14:paraId="46C62049">
            <w:pPr>
              <w:ind w:right="94" w:rightChars="45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不组织</w:t>
            </w:r>
          </w:p>
        </w:tc>
      </w:tr>
      <w:tr w14:paraId="4B92D64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A3B9A7">
            <w:pPr>
              <w:snapToGrid w:val="0"/>
              <w:spacing w:after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2FB74B">
            <w:pPr>
              <w:pStyle w:val="34"/>
              <w:ind w:left="96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zh-CN"/>
              </w:rPr>
              <w:t>价格分比重</w:t>
            </w:r>
          </w:p>
        </w:tc>
        <w:tc>
          <w:tcPr>
            <w:tcW w:w="7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 w14:paraId="1858358A"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highlight w:val="none"/>
                <w:lang w:val="zh-CN"/>
              </w:rPr>
              <w:t>占总分值的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30  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highlight w:val="none"/>
                <w:lang w:val="zh-CN"/>
              </w:rPr>
              <w:t>%</w:t>
            </w:r>
          </w:p>
          <w:p w14:paraId="6D049E94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政府采购法律法规未有明确限制。</w:t>
            </w:r>
          </w:p>
        </w:tc>
      </w:tr>
      <w:tr w14:paraId="58D77B0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0BFDDB">
            <w:pPr>
              <w:snapToGrid w:val="0"/>
              <w:spacing w:after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ED59DE">
            <w:pPr>
              <w:pStyle w:val="34"/>
              <w:ind w:left="96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zh-CN"/>
              </w:rPr>
              <w:t>合同类型</w:t>
            </w:r>
          </w:p>
        </w:tc>
        <w:tc>
          <w:tcPr>
            <w:tcW w:w="7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 w14:paraId="38B49CCC">
            <w:pP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  <w:lang w:val="zh-CN"/>
              </w:rPr>
              <w:t>○总价</w:t>
            </w:r>
          </w:p>
          <w:p w14:paraId="57806CE7">
            <w:pP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  <w:lang w:val="zh-CN"/>
              </w:rPr>
              <w:t>综合单价（适用于采购数量不定的情形）</w:t>
            </w:r>
          </w:p>
          <w:p w14:paraId="47C8EF9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  <w:lang w:val="zh-CN"/>
              </w:rPr>
              <w:t>○其他：___________________________</w:t>
            </w:r>
          </w:p>
        </w:tc>
      </w:tr>
      <w:tr w14:paraId="5200FAD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DA6EE9">
            <w:pPr>
              <w:snapToGrid w:val="0"/>
              <w:spacing w:after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9AE577">
            <w:pPr>
              <w:tabs>
                <w:tab w:val="left" w:pos="7665"/>
              </w:tabs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争议解决途径</w:t>
            </w:r>
          </w:p>
        </w:tc>
        <w:tc>
          <w:tcPr>
            <w:tcW w:w="7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 w14:paraId="154042E2">
            <w:pPr>
              <w:tabs>
                <w:tab w:val="left" w:pos="7665"/>
              </w:tabs>
              <w:snapToGrid w:val="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向有管辖权的人民法院提起诉讼</w:t>
            </w:r>
          </w:p>
          <w:p w14:paraId="5250753F">
            <w:pPr>
              <w:tabs>
                <w:tab w:val="left" w:pos="7665"/>
              </w:tabs>
              <w:snapToGrid w:val="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○向西安仲裁委员会提请仲裁</w:t>
            </w:r>
          </w:p>
          <w:p w14:paraId="32BE95E6">
            <w:pPr>
              <w:tabs>
                <w:tab w:val="left" w:pos="7665"/>
              </w:tabs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highlight w:val="none"/>
              </w:rPr>
              <w:t>○由供应商做出选择</w:t>
            </w:r>
          </w:p>
        </w:tc>
      </w:tr>
      <w:tr w14:paraId="52FA12B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vAlign w:val="center"/>
          </w:tcPr>
          <w:p w14:paraId="48BDD07A">
            <w:pPr>
              <w:snapToGrid w:val="0"/>
              <w:spacing w:after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vAlign w:val="center"/>
          </w:tcPr>
          <w:p w14:paraId="3B8C0633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7067" w:type="dxa"/>
            <w:tcBorders>
              <w:top w:val="single" w:color="auto" w:sz="4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60AC96D9">
            <w:pPr>
              <w:tabs>
                <w:tab w:val="left" w:pos="7665"/>
              </w:tabs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项目对接人：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赵飞    </w:t>
            </w:r>
          </w:p>
          <w:p w14:paraId="1AB60EAC">
            <w:pPr>
              <w:tabs>
                <w:tab w:val="left" w:pos="7665"/>
              </w:tabs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联系电话：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</w:rPr>
              <w:t>029-85268414</w:t>
            </w:r>
          </w:p>
          <w:p w14:paraId="2ADA7992">
            <w:pPr>
              <w:tabs>
                <w:tab w:val="left" w:pos="7665"/>
              </w:tabs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电子邮箱：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/       </w:t>
            </w:r>
          </w:p>
        </w:tc>
      </w:tr>
    </w:tbl>
    <w:p w14:paraId="77F20754"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</w:p>
    <w:p w14:paraId="2B13C9FB">
      <w:pPr>
        <w:widowControl/>
        <w:jc w:val="lef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br w:type="page"/>
      </w:r>
    </w:p>
    <w:p w14:paraId="30B5978D">
      <w:pPr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  <w:t>需求框架（工程类）</w:t>
      </w:r>
    </w:p>
    <w:p w14:paraId="093FA4CA">
      <w:pPr>
        <w:keepNext w:val="0"/>
        <w:keepLines w:val="0"/>
        <w:pageBreakBefore w:val="0"/>
        <w:numPr>
          <w:ilvl w:val="0"/>
          <w:numId w:val="1"/>
        </w:numPr>
        <w:pBdr>
          <w:bottom w:val="single" w:color="auto" w:sz="4" w:space="1"/>
        </w:pBdr>
        <w:wordWrap/>
        <w:overflowPunct/>
        <w:topLinePunct w:val="0"/>
        <w:bidi w:val="0"/>
        <w:spacing w:before="312" w:beforeLines="100" w:line="400" w:lineRule="exact"/>
        <w:ind w:left="420" w:hanging="420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项目概况</w:t>
      </w:r>
    </w:p>
    <w:p w14:paraId="5A452F68">
      <w:pPr>
        <w:pStyle w:val="5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00" w:lineRule="exact"/>
        <w:ind w:firstLine="480" w:firstLineChars="200"/>
        <w:rPr>
          <w:rFonts w:hint="eastAsia" w:ascii="宋体" w:hAnsi="宋体" w:eastAsia="宋体" w:cs="宋体"/>
          <w:b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highlight w:val="none"/>
          <w:lang w:val="en-US" w:eastAsia="zh-CN" w:bidi="ar-SA"/>
        </w:rPr>
        <w:t>1.项目名称:西安市次支路微改造治理工程（第一批40条） （雁塔区10条）-民洁路、昆明池路道路改造工程施工</w:t>
      </w:r>
    </w:p>
    <w:p w14:paraId="7A840F54">
      <w:pPr>
        <w:pStyle w:val="5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00" w:lineRule="exact"/>
        <w:ind w:firstLine="480" w:firstLineChars="200"/>
        <w:rPr>
          <w:rFonts w:hint="eastAsia" w:ascii="宋体" w:hAnsi="宋体" w:eastAsia="宋体" w:cs="宋体"/>
          <w:b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highlight w:val="none"/>
          <w:lang w:val="en-US" w:eastAsia="zh-CN" w:bidi="ar-SA"/>
        </w:rPr>
        <w:t>2.工程地址:西安市雁塔区。</w:t>
      </w:r>
    </w:p>
    <w:p w14:paraId="21F8DC97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b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highlight w:val="none"/>
          <w:lang w:val="en-US" w:eastAsia="zh-CN" w:bidi="ar-SA"/>
        </w:rPr>
        <w:t>3.项目范围及内容:包含西安市次支路微改造治理工程（第一批40条）（雁塔区10条）-民洁路、昆明池路道路改造工程施工项目的道路工程、交通工程、照明工程等内容，具体以工程量清单内容为准。</w:t>
      </w:r>
    </w:p>
    <w:p w14:paraId="1FA6B44E">
      <w:pPr>
        <w:keepNext w:val="0"/>
        <w:keepLines w:val="0"/>
        <w:pageBreakBefore w:val="0"/>
        <w:widowControl w:val="0"/>
        <w:pBdr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440" w:lineRule="exact"/>
        <w:ind w:left="420" w:hanging="420"/>
        <w:textAlignment w:val="auto"/>
        <w:rPr>
          <w:rFonts w:hint="eastAsia"/>
          <w:color w:val="auto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u w:val="none"/>
        </w:rPr>
        <w:t>二、工程内容和施工地点、计划工期、缺陷责任期、质量保修期</w:t>
      </w:r>
    </w:p>
    <w:p w14:paraId="704847A6">
      <w:pPr>
        <w:pStyle w:val="4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工程内容：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highlight w:val="none"/>
          <w:lang w:val="en-US" w:eastAsia="zh-CN" w:bidi="ar-SA"/>
        </w:rPr>
        <w:t>包含西安市次支路微改造治理工程（第一批40条）（雁塔区10条）-民洁路、昆明池路道路改造工程施工项目的道路工程、交通工程、照明工程等内容，具体以工程量清单内容为准。</w:t>
      </w:r>
    </w:p>
    <w:p w14:paraId="10189014">
      <w:pPr>
        <w:pStyle w:val="41"/>
        <w:keepNext w:val="0"/>
        <w:keepLines w:val="0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00" w:lineRule="exact"/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工程地点：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西安市雁塔区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。</w:t>
      </w:r>
    </w:p>
    <w:p w14:paraId="04458F96">
      <w:pPr>
        <w:pStyle w:val="41"/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（三）计划工期：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90日历天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。</w:t>
      </w:r>
    </w:p>
    <w:p w14:paraId="101E7449">
      <w:pPr>
        <w:pStyle w:val="41"/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（四）缺陷责任期（与质保金的退还有关）：见《建设工程质量保证金管理暂行办法》，2年。</w:t>
      </w:r>
    </w:p>
    <w:p w14:paraId="6CDAECDD">
      <w:pPr>
        <w:pStyle w:val="41"/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（五）质量保修期（与质保金的退还无关）：见《建设工程质量管理条例》。</w:t>
      </w:r>
    </w:p>
    <w:p w14:paraId="48066F9C">
      <w:pPr>
        <w:keepNext w:val="0"/>
        <w:keepLines w:val="0"/>
        <w:pageBreakBefore w:val="0"/>
        <w:pBdr>
          <w:bottom w:val="single" w:color="auto" w:sz="4" w:space="1"/>
        </w:pBdr>
        <w:wordWrap/>
        <w:overflowPunct/>
        <w:topLinePunct w:val="0"/>
        <w:bidi w:val="0"/>
        <w:spacing w:before="312" w:beforeLines="100" w:line="400" w:lineRule="exact"/>
        <w:ind w:left="420" w:hanging="42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三、工程量清单和计价依据</w:t>
      </w:r>
    </w:p>
    <w:p w14:paraId="19EFEA2A">
      <w:pPr>
        <w:pStyle w:val="41"/>
        <w:keepNext w:val="0"/>
        <w:keepLines w:val="0"/>
        <w:pageBreakBefore w:val="0"/>
        <w:numPr>
          <w:ilvl w:val="0"/>
          <w:numId w:val="3"/>
        </w:numPr>
        <w:wordWrap/>
        <w:overflowPunct/>
        <w:topLinePunct w:val="0"/>
        <w:bidi w:val="0"/>
        <w:spacing w:line="400" w:lineRule="exact"/>
        <w:ind w:firstLine="480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计价依据</w:t>
      </w:r>
    </w:p>
    <w:p w14:paraId="0630205B">
      <w:pPr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1、中交第一公路勘察设计研究院有限公司设计的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" w:eastAsia="zh-CN" w:bidi="ar-SA"/>
        </w:rPr>
        <w:t>西安市次支路微改造治理工程（第一批40条） （雁塔区10条）-民洁路、昆明池路道路改造工程施工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施工图纸编制；</w:t>
      </w:r>
    </w:p>
    <w:p w14:paraId="196CF926">
      <w:pPr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2、陕西省住房和城乡建设厅文件《陕西省住房和城乡建设厅关于印发2009陕西省建设工程工程量清单计价依据的通知》（陕建发[2009]199号）；</w:t>
      </w:r>
    </w:p>
    <w:p w14:paraId="7EA7C9A8">
      <w:pPr>
        <w:spacing w:line="360" w:lineRule="auto"/>
        <w:ind w:firstLine="480" w:firstLineChars="200"/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3、《陕西省建设工程工程量清单计价规则》（2009）、《陕西省建设工程工程量清单计价费率》（2009）、及其配套文件中的工程量计算办法</w:t>
      </w: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；</w:t>
      </w:r>
    </w:p>
    <w:p w14:paraId="6288A364">
      <w:pPr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4</w:t>
      </w: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《陕西省</w:t>
      </w: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市政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工程价目表》（2009）；</w:t>
      </w:r>
    </w:p>
    <w:p w14:paraId="2BB4D57E">
      <w:pPr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5、《陕西省</w:t>
      </w: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园林绿化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工程价目表》（2009）；</w:t>
      </w:r>
    </w:p>
    <w:p w14:paraId="0213574D">
      <w:pPr>
        <w:spacing w:line="360" w:lineRule="auto"/>
        <w:ind w:firstLine="480" w:firstLineChars="200"/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6、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《陕西省</w:t>
      </w: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安装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工程价目表》（2009）；</w:t>
      </w:r>
    </w:p>
    <w:p w14:paraId="398EAC91">
      <w:pPr>
        <w:spacing w:line="360" w:lineRule="auto"/>
        <w:ind w:firstLine="480" w:firstLineChars="200"/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7、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《陕西省建设工程施工机械台班价目表》（2009）</w:t>
      </w: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；</w:t>
      </w:r>
    </w:p>
    <w:p w14:paraId="4AB3F41E">
      <w:pPr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8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、人工费调整按陕建发[2021]1097号文件执行；</w:t>
      </w:r>
    </w:p>
    <w:p w14:paraId="7B180796">
      <w:pPr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9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、安全文明施工费按陕建发[2019]1246号文件执行；</w:t>
      </w:r>
    </w:p>
    <w:p w14:paraId="1AFAF7D6">
      <w:pPr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10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、税率按陕建发[2019]45号文件执行；</w:t>
      </w:r>
    </w:p>
    <w:p w14:paraId="2747FD14">
      <w:pPr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11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、规费按陕建发[2020]1097号文件执行；</w:t>
      </w:r>
    </w:p>
    <w:p w14:paraId="382A32A1">
      <w:pPr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、养老保险统筹费按照陕建发[2021]1021号文的规定计入工程造价；</w:t>
      </w:r>
    </w:p>
    <w:p w14:paraId="151C3E50">
      <w:pPr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、国家有关建设和造价管理的法律、法规和方针政策；</w:t>
      </w:r>
    </w:p>
    <w:p w14:paraId="023B13FD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14、材料价执行陕西省信息价（2024年11月）、部分借用专业测定价（2024年11月）及市场价格；</w:t>
      </w:r>
    </w:p>
    <w:p w14:paraId="4E3F13D8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、其它相关资料。</w:t>
      </w:r>
    </w:p>
    <w:p w14:paraId="42AF062E">
      <w:pPr>
        <w:pStyle w:val="41"/>
        <w:keepNext w:val="0"/>
        <w:keepLines w:val="0"/>
        <w:pageBreakBefore w:val="0"/>
        <w:numPr>
          <w:ilvl w:val="0"/>
          <w:numId w:val="3"/>
        </w:numPr>
        <w:wordWrap/>
        <w:overflowPunct/>
        <w:topLinePunct w:val="0"/>
        <w:bidi w:val="0"/>
        <w:spacing w:line="400" w:lineRule="exact"/>
        <w:ind w:left="0" w:leftChars="0" w:firstLine="482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工程量清单</w:t>
      </w:r>
    </w:p>
    <w:p w14:paraId="7C9A6AA6"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详见工程量清单附件</w:t>
      </w:r>
    </w:p>
    <w:p w14:paraId="4D1DA18F">
      <w:pPr>
        <w:keepNext w:val="0"/>
        <w:keepLines w:val="0"/>
        <w:pageBreakBefore w:val="0"/>
        <w:pBdr>
          <w:bottom w:val="single" w:color="auto" w:sz="4" w:space="1"/>
        </w:pBdr>
        <w:wordWrap/>
        <w:overflowPunct/>
        <w:topLinePunct w:val="0"/>
        <w:bidi w:val="0"/>
        <w:spacing w:before="312" w:beforeLines="100" w:line="400" w:lineRule="exact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四、施工要求</w:t>
      </w:r>
    </w:p>
    <w:p w14:paraId="3788D3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在施工期间，中标供应商必须注意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场地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人员安全，加强安全措施，并对施工人员进行安全教育。施工人员必须持证上岗。因采购人工作的特殊性，要求中标供应商在施工中做到封闭性施工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应严格执行本市有关建设工程安全、文明施工的规定，由于管理不善引起政府有关部门罚款或责令停工整改等，其发生的费用或导致的损失应由承包人自行承担，在施工单位整改前发包人保留因此而缓付工程进度款的权利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。</w:t>
      </w:r>
    </w:p>
    <w:p w14:paraId="37BFE2A3">
      <w:pPr>
        <w:keepNext w:val="0"/>
        <w:keepLines w:val="0"/>
        <w:pageBreakBefore w:val="0"/>
        <w:pBdr>
          <w:bottom w:val="single" w:color="auto" w:sz="4" w:space="1"/>
        </w:pBdr>
        <w:wordWrap/>
        <w:overflowPunct/>
        <w:topLinePunct w:val="0"/>
        <w:bidi w:val="0"/>
        <w:spacing w:before="312" w:beforeLines="100" w:line="400" w:lineRule="exact"/>
        <w:ind w:left="420" w:hanging="420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五、商务要求</w:t>
      </w:r>
    </w:p>
    <w:p w14:paraId="55229B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1、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计划工期：90日历天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。</w:t>
      </w:r>
    </w:p>
    <w:p w14:paraId="42C4BC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2、款项结算：</w:t>
      </w:r>
    </w:p>
    <w:p w14:paraId="6DEFFB8F">
      <w:pPr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签定了合同后20个工作日内或不迟于约定的开工日期前7天、待承包人进场后付合同款的10%；根据工程进度付款，完成工程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项目50%时付至合同款的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60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%，完成工程项目的100%时付至合同款的80%，竣工验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收合格后30日内付至审定的结算工程造价的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100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%。</w:t>
      </w:r>
    </w:p>
    <w:p w14:paraId="4DCD0BDF">
      <w:pPr>
        <w:keepNext w:val="0"/>
        <w:keepLines w:val="0"/>
        <w:pageBreakBefore w:val="0"/>
        <w:pBdr>
          <w:bottom w:val="single" w:color="auto" w:sz="4" w:space="1"/>
        </w:pBdr>
        <w:wordWrap/>
        <w:overflowPunct/>
        <w:topLinePunct w:val="0"/>
        <w:bidi w:val="0"/>
        <w:spacing w:before="312" w:beforeLines="100" w:line="400" w:lineRule="exact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六、其他</w:t>
      </w:r>
    </w:p>
    <w:p w14:paraId="5EA11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（一）对供应商的业绩要求</w:t>
      </w:r>
    </w:p>
    <w:p w14:paraId="69306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55" w:leftChars="313" w:hanging="98" w:hangingChars="41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无</w:t>
      </w:r>
    </w:p>
    <w:p w14:paraId="6C7FA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（二）质量验收标准或规范</w:t>
      </w:r>
    </w:p>
    <w:p w14:paraId="394FE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符合国家现行有关施工质量验收规范“合格”要求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。</w:t>
      </w:r>
    </w:p>
    <w:p w14:paraId="2549B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（三）违约责任</w:t>
      </w:r>
    </w:p>
    <w:p w14:paraId="26E84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（1）按《民法典》中的相关条款执行。 </w:t>
      </w:r>
    </w:p>
    <w:p w14:paraId="7EA90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（2）未按合同要求提供施工或施工质量不能满足合同要求，采购人有权依据《民法典》有关条款及合同约定终止合同，并要求中标供应商承担违约责任。 </w:t>
      </w:r>
    </w:p>
    <w:p w14:paraId="148B9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（四）与本工程相关的特别说明</w:t>
      </w:r>
    </w:p>
    <w:p w14:paraId="5FC1A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无</w:t>
      </w:r>
    </w:p>
    <w:sectPr>
      <w:headerReference r:id="rId3" w:type="default"/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40B05">
    <w:pPr>
      <w:pStyle w:val="8"/>
    </w:pPr>
    <w:r>
      <w:t>政府采购需求书（工程类）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3E9483"/>
    <w:multiLevelType w:val="singleLevel"/>
    <w:tmpl w:val="3E3E94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EC09D2C"/>
    <w:multiLevelType w:val="singleLevel"/>
    <w:tmpl w:val="3EC09D2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EB7C2C8"/>
    <w:multiLevelType w:val="singleLevel"/>
    <w:tmpl w:val="6EB7C2C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hMjIyNGE2ZTEwNzBlOTNkYjQ1M2EzNWRhNjg1YmUifQ=="/>
  </w:docVars>
  <w:rsids>
    <w:rsidRoot w:val="0022387C"/>
    <w:rsid w:val="0000159C"/>
    <w:rsid w:val="000019FA"/>
    <w:rsid w:val="00002BB3"/>
    <w:rsid w:val="00003F53"/>
    <w:rsid w:val="00004F9A"/>
    <w:rsid w:val="00006A52"/>
    <w:rsid w:val="00012137"/>
    <w:rsid w:val="00012844"/>
    <w:rsid w:val="00012F9B"/>
    <w:rsid w:val="00013929"/>
    <w:rsid w:val="00014DAF"/>
    <w:rsid w:val="00015802"/>
    <w:rsid w:val="00016042"/>
    <w:rsid w:val="00022F41"/>
    <w:rsid w:val="00023261"/>
    <w:rsid w:val="000234CF"/>
    <w:rsid w:val="000235C8"/>
    <w:rsid w:val="00027E6B"/>
    <w:rsid w:val="0003251F"/>
    <w:rsid w:val="00032BB4"/>
    <w:rsid w:val="00033377"/>
    <w:rsid w:val="00033B5A"/>
    <w:rsid w:val="00037F2F"/>
    <w:rsid w:val="00037FD3"/>
    <w:rsid w:val="000403A2"/>
    <w:rsid w:val="00040799"/>
    <w:rsid w:val="00040973"/>
    <w:rsid w:val="00043830"/>
    <w:rsid w:val="000440AF"/>
    <w:rsid w:val="00044F32"/>
    <w:rsid w:val="00051EF3"/>
    <w:rsid w:val="000543B4"/>
    <w:rsid w:val="00054879"/>
    <w:rsid w:val="000556F1"/>
    <w:rsid w:val="0005692F"/>
    <w:rsid w:val="00061A13"/>
    <w:rsid w:val="00063EEF"/>
    <w:rsid w:val="00064071"/>
    <w:rsid w:val="00064386"/>
    <w:rsid w:val="00067A39"/>
    <w:rsid w:val="00067D44"/>
    <w:rsid w:val="0007053B"/>
    <w:rsid w:val="00070AA6"/>
    <w:rsid w:val="0007534F"/>
    <w:rsid w:val="000770B7"/>
    <w:rsid w:val="00077B80"/>
    <w:rsid w:val="000857F2"/>
    <w:rsid w:val="00090002"/>
    <w:rsid w:val="000906B5"/>
    <w:rsid w:val="000911CC"/>
    <w:rsid w:val="000951C6"/>
    <w:rsid w:val="00095A8D"/>
    <w:rsid w:val="00096428"/>
    <w:rsid w:val="00097CDB"/>
    <w:rsid w:val="000A0237"/>
    <w:rsid w:val="000A2583"/>
    <w:rsid w:val="000B5ACF"/>
    <w:rsid w:val="000B6858"/>
    <w:rsid w:val="000C048C"/>
    <w:rsid w:val="000C078B"/>
    <w:rsid w:val="000C21A4"/>
    <w:rsid w:val="000C538D"/>
    <w:rsid w:val="000C59A5"/>
    <w:rsid w:val="000D0AF3"/>
    <w:rsid w:val="000D0DE1"/>
    <w:rsid w:val="000D1277"/>
    <w:rsid w:val="000D4097"/>
    <w:rsid w:val="000E3FB5"/>
    <w:rsid w:val="000E6AE7"/>
    <w:rsid w:val="000F0C8A"/>
    <w:rsid w:val="000F1A9A"/>
    <w:rsid w:val="000F27AD"/>
    <w:rsid w:val="000F2BEC"/>
    <w:rsid w:val="000F3064"/>
    <w:rsid w:val="000F35AB"/>
    <w:rsid w:val="000F3645"/>
    <w:rsid w:val="000F4ECB"/>
    <w:rsid w:val="000F66FE"/>
    <w:rsid w:val="000F6831"/>
    <w:rsid w:val="000F6A10"/>
    <w:rsid w:val="000F735B"/>
    <w:rsid w:val="000F7DA6"/>
    <w:rsid w:val="00100C1B"/>
    <w:rsid w:val="00103379"/>
    <w:rsid w:val="00106530"/>
    <w:rsid w:val="00107B8A"/>
    <w:rsid w:val="001101BD"/>
    <w:rsid w:val="00111F0F"/>
    <w:rsid w:val="001131D6"/>
    <w:rsid w:val="00113B9B"/>
    <w:rsid w:val="00121FC0"/>
    <w:rsid w:val="00122D76"/>
    <w:rsid w:val="001254F9"/>
    <w:rsid w:val="001257D4"/>
    <w:rsid w:val="0013015E"/>
    <w:rsid w:val="00131904"/>
    <w:rsid w:val="0013342E"/>
    <w:rsid w:val="001338D9"/>
    <w:rsid w:val="00133ADB"/>
    <w:rsid w:val="00134EE2"/>
    <w:rsid w:val="001351E3"/>
    <w:rsid w:val="00135AA2"/>
    <w:rsid w:val="00136D4A"/>
    <w:rsid w:val="00137E7B"/>
    <w:rsid w:val="00142244"/>
    <w:rsid w:val="001454AD"/>
    <w:rsid w:val="001455F6"/>
    <w:rsid w:val="001456C7"/>
    <w:rsid w:val="0015361E"/>
    <w:rsid w:val="00156ED5"/>
    <w:rsid w:val="001630D0"/>
    <w:rsid w:val="00164101"/>
    <w:rsid w:val="00164EE1"/>
    <w:rsid w:val="00166FD9"/>
    <w:rsid w:val="00167ECE"/>
    <w:rsid w:val="0017054A"/>
    <w:rsid w:val="00171A61"/>
    <w:rsid w:val="00173749"/>
    <w:rsid w:val="00173A35"/>
    <w:rsid w:val="0017410F"/>
    <w:rsid w:val="00174285"/>
    <w:rsid w:val="00175756"/>
    <w:rsid w:val="00176F0E"/>
    <w:rsid w:val="00184F72"/>
    <w:rsid w:val="00187846"/>
    <w:rsid w:val="00191A7E"/>
    <w:rsid w:val="00193B5F"/>
    <w:rsid w:val="001947E8"/>
    <w:rsid w:val="00194890"/>
    <w:rsid w:val="00196A1C"/>
    <w:rsid w:val="001A2103"/>
    <w:rsid w:val="001A5309"/>
    <w:rsid w:val="001A5764"/>
    <w:rsid w:val="001B0699"/>
    <w:rsid w:val="001B2019"/>
    <w:rsid w:val="001B49FD"/>
    <w:rsid w:val="001C0BA3"/>
    <w:rsid w:val="001C0BBD"/>
    <w:rsid w:val="001C25ED"/>
    <w:rsid w:val="001D0B39"/>
    <w:rsid w:val="001D1BCB"/>
    <w:rsid w:val="001D22C0"/>
    <w:rsid w:val="001D4171"/>
    <w:rsid w:val="001D576E"/>
    <w:rsid w:val="001D70BC"/>
    <w:rsid w:val="001E2BB9"/>
    <w:rsid w:val="001E6A70"/>
    <w:rsid w:val="001F2059"/>
    <w:rsid w:val="001F49A1"/>
    <w:rsid w:val="001F4ACC"/>
    <w:rsid w:val="001F7532"/>
    <w:rsid w:val="00201795"/>
    <w:rsid w:val="0020498C"/>
    <w:rsid w:val="00207790"/>
    <w:rsid w:val="00210CFC"/>
    <w:rsid w:val="00210FBE"/>
    <w:rsid w:val="002125C8"/>
    <w:rsid w:val="00213205"/>
    <w:rsid w:val="002137AF"/>
    <w:rsid w:val="002174B0"/>
    <w:rsid w:val="00220787"/>
    <w:rsid w:val="0022387C"/>
    <w:rsid w:val="00230C6A"/>
    <w:rsid w:val="00233D53"/>
    <w:rsid w:val="002345B9"/>
    <w:rsid w:val="00237A3F"/>
    <w:rsid w:val="00237C8C"/>
    <w:rsid w:val="0024210D"/>
    <w:rsid w:val="00244C29"/>
    <w:rsid w:val="00247B11"/>
    <w:rsid w:val="00250468"/>
    <w:rsid w:val="00250A0D"/>
    <w:rsid w:val="00250B6E"/>
    <w:rsid w:val="00252050"/>
    <w:rsid w:val="00253B74"/>
    <w:rsid w:val="002547E0"/>
    <w:rsid w:val="00255DBC"/>
    <w:rsid w:val="0025777A"/>
    <w:rsid w:val="00260306"/>
    <w:rsid w:val="00261898"/>
    <w:rsid w:val="00264014"/>
    <w:rsid w:val="0026501F"/>
    <w:rsid w:val="0026629F"/>
    <w:rsid w:val="00266611"/>
    <w:rsid w:val="00267AE5"/>
    <w:rsid w:val="00267C8A"/>
    <w:rsid w:val="00271136"/>
    <w:rsid w:val="00273219"/>
    <w:rsid w:val="002742EA"/>
    <w:rsid w:val="0027449B"/>
    <w:rsid w:val="00276641"/>
    <w:rsid w:val="0028033D"/>
    <w:rsid w:val="00282837"/>
    <w:rsid w:val="00291777"/>
    <w:rsid w:val="0029384E"/>
    <w:rsid w:val="002938B0"/>
    <w:rsid w:val="002961E2"/>
    <w:rsid w:val="00296372"/>
    <w:rsid w:val="00297703"/>
    <w:rsid w:val="00297866"/>
    <w:rsid w:val="002A3B25"/>
    <w:rsid w:val="002A6815"/>
    <w:rsid w:val="002B35C4"/>
    <w:rsid w:val="002B36C2"/>
    <w:rsid w:val="002B59BE"/>
    <w:rsid w:val="002B65AB"/>
    <w:rsid w:val="002B696D"/>
    <w:rsid w:val="002C4511"/>
    <w:rsid w:val="002D2B5F"/>
    <w:rsid w:val="002D327B"/>
    <w:rsid w:val="002D41DD"/>
    <w:rsid w:val="002D7418"/>
    <w:rsid w:val="002E1660"/>
    <w:rsid w:val="002E43F6"/>
    <w:rsid w:val="002E7C3E"/>
    <w:rsid w:val="002F1C19"/>
    <w:rsid w:val="002F1C7D"/>
    <w:rsid w:val="002F1EC9"/>
    <w:rsid w:val="002F25EC"/>
    <w:rsid w:val="002F2EAB"/>
    <w:rsid w:val="002F30DD"/>
    <w:rsid w:val="002F3224"/>
    <w:rsid w:val="002F7D7D"/>
    <w:rsid w:val="00300067"/>
    <w:rsid w:val="00300B27"/>
    <w:rsid w:val="0030123B"/>
    <w:rsid w:val="00301FAE"/>
    <w:rsid w:val="003024CF"/>
    <w:rsid w:val="00306470"/>
    <w:rsid w:val="00311862"/>
    <w:rsid w:val="00316D60"/>
    <w:rsid w:val="003172BB"/>
    <w:rsid w:val="00322208"/>
    <w:rsid w:val="003245F8"/>
    <w:rsid w:val="00325D47"/>
    <w:rsid w:val="00325EF1"/>
    <w:rsid w:val="003276DE"/>
    <w:rsid w:val="00332A7C"/>
    <w:rsid w:val="00337CFC"/>
    <w:rsid w:val="003406B1"/>
    <w:rsid w:val="00343305"/>
    <w:rsid w:val="003443D3"/>
    <w:rsid w:val="003450CD"/>
    <w:rsid w:val="00345F35"/>
    <w:rsid w:val="00351734"/>
    <w:rsid w:val="00354FCF"/>
    <w:rsid w:val="00360830"/>
    <w:rsid w:val="00364896"/>
    <w:rsid w:val="00366A2C"/>
    <w:rsid w:val="00372CF8"/>
    <w:rsid w:val="00373AE9"/>
    <w:rsid w:val="00374506"/>
    <w:rsid w:val="0037495D"/>
    <w:rsid w:val="00375819"/>
    <w:rsid w:val="00375C89"/>
    <w:rsid w:val="00376DAF"/>
    <w:rsid w:val="003833FB"/>
    <w:rsid w:val="00383F8F"/>
    <w:rsid w:val="003872CB"/>
    <w:rsid w:val="00387AFC"/>
    <w:rsid w:val="00390290"/>
    <w:rsid w:val="0039216D"/>
    <w:rsid w:val="00392EBD"/>
    <w:rsid w:val="00393459"/>
    <w:rsid w:val="003943D1"/>
    <w:rsid w:val="0039449C"/>
    <w:rsid w:val="00395695"/>
    <w:rsid w:val="003A0002"/>
    <w:rsid w:val="003A0295"/>
    <w:rsid w:val="003A0D83"/>
    <w:rsid w:val="003B0D75"/>
    <w:rsid w:val="003B3207"/>
    <w:rsid w:val="003C3325"/>
    <w:rsid w:val="003D2606"/>
    <w:rsid w:val="003D39C7"/>
    <w:rsid w:val="003D45F5"/>
    <w:rsid w:val="003D6B60"/>
    <w:rsid w:val="003E010E"/>
    <w:rsid w:val="003E1D81"/>
    <w:rsid w:val="003E7874"/>
    <w:rsid w:val="003F60A3"/>
    <w:rsid w:val="004001BE"/>
    <w:rsid w:val="0040124D"/>
    <w:rsid w:val="004017C8"/>
    <w:rsid w:val="0040181A"/>
    <w:rsid w:val="004024C2"/>
    <w:rsid w:val="004068A7"/>
    <w:rsid w:val="00406C11"/>
    <w:rsid w:val="004106B2"/>
    <w:rsid w:val="00412CBC"/>
    <w:rsid w:val="004156E2"/>
    <w:rsid w:val="0042388D"/>
    <w:rsid w:val="00427ABD"/>
    <w:rsid w:val="004317AB"/>
    <w:rsid w:val="00431DBF"/>
    <w:rsid w:val="00433512"/>
    <w:rsid w:val="0043432D"/>
    <w:rsid w:val="00441D7B"/>
    <w:rsid w:val="00444250"/>
    <w:rsid w:val="00444298"/>
    <w:rsid w:val="004456C5"/>
    <w:rsid w:val="00454666"/>
    <w:rsid w:val="004574A4"/>
    <w:rsid w:val="00463236"/>
    <w:rsid w:val="004657D3"/>
    <w:rsid w:val="0046690A"/>
    <w:rsid w:val="0046782F"/>
    <w:rsid w:val="00471E1E"/>
    <w:rsid w:val="0047278F"/>
    <w:rsid w:val="0047590B"/>
    <w:rsid w:val="00490F98"/>
    <w:rsid w:val="00491349"/>
    <w:rsid w:val="00493684"/>
    <w:rsid w:val="00493E48"/>
    <w:rsid w:val="00496ACE"/>
    <w:rsid w:val="00497530"/>
    <w:rsid w:val="004A00FD"/>
    <w:rsid w:val="004A5CFF"/>
    <w:rsid w:val="004A61D7"/>
    <w:rsid w:val="004A6B5A"/>
    <w:rsid w:val="004B1026"/>
    <w:rsid w:val="004B5992"/>
    <w:rsid w:val="004C093C"/>
    <w:rsid w:val="004C0B7A"/>
    <w:rsid w:val="004C0CA0"/>
    <w:rsid w:val="004C5B48"/>
    <w:rsid w:val="004C6493"/>
    <w:rsid w:val="004D2D8E"/>
    <w:rsid w:val="004D4879"/>
    <w:rsid w:val="004D7C23"/>
    <w:rsid w:val="004D7F2C"/>
    <w:rsid w:val="004E07B6"/>
    <w:rsid w:val="004E0B6D"/>
    <w:rsid w:val="004E63AF"/>
    <w:rsid w:val="004F411F"/>
    <w:rsid w:val="004F60D3"/>
    <w:rsid w:val="004F7D8F"/>
    <w:rsid w:val="0050182A"/>
    <w:rsid w:val="00502DB5"/>
    <w:rsid w:val="005053C1"/>
    <w:rsid w:val="00506ECC"/>
    <w:rsid w:val="00510D3F"/>
    <w:rsid w:val="00511E18"/>
    <w:rsid w:val="00512B77"/>
    <w:rsid w:val="00515ADE"/>
    <w:rsid w:val="00515E63"/>
    <w:rsid w:val="005176F4"/>
    <w:rsid w:val="005203BA"/>
    <w:rsid w:val="005220F8"/>
    <w:rsid w:val="00522932"/>
    <w:rsid w:val="0052539A"/>
    <w:rsid w:val="005309DD"/>
    <w:rsid w:val="0053320F"/>
    <w:rsid w:val="005406CD"/>
    <w:rsid w:val="00542C65"/>
    <w:rsid w:val="00544037"/>
    <w:rsid w:val="0054537C"/>
    <w:rsid w:val="00547AD0"/>
    <w:rsid w:val="005509F0"/>
    <w:rsid w:val="00553778"/>
    <w:rsid w:val="00553AC5"/>
    <w:rsid w:val="00554646"/>
    <w:rsid w:val="005555A0"/>
    <w:rsid w:val="00556272"/>
    <w:rsid w:val="0056216F"/>
    <w:rsid w:val="005627E9"/>
    <w:rsid w:val="00572506"/>
    <w:rsid w:val="00573AC9"/>
    <w:rsid w:val="00581DBA"/>
    <w:rsid w:val="00581F60"/>
    <w:rsid w:val="005829C2"/>
    <w:rsid w:val="00582A46"/>
    <w:rsid w:val="0058322B"/>
    <w:rsid w:val="00583A5C"/>
    <w:rsid w:val="0058471F"/>
    <w:rsid w:val="0058487A"/>
    <w:rsid w:val="005863EF"/>
    <w:rsid w:val="00592CFD"/>
    <w:rsid w:val="00593C8A"/>
    <w:rsid w:val="005960B9"/>
    <w:rsid w:val="005A3DFC"/>
    <w:rsid w:val="005A5B0F"/>
    <w:rsid w:val="005A69F8"/>
    <w:rsid w:val="005A6B45"/>
    <w:rsid w:val="005A7B9D"/>
    <w:rsid w:val="005B0579"/>
    <w:rsid w:val="005B27CD"/>
    <w:rsid w:val="005B314D"/>
    <w:rsid w:val="005B353B"/>
    <w:rsid w:val="005B547C"/>
    <w:rsid w:val="005B65A5"/>
    <w:rsid w:val="005B67BE"/>
    <w:rsid w:val="005B7116"/>
    <w:rsid w:val="005C6C4F"/>
    <w:rsid w:val="005D000E"/>
    <w:rsid w:val="005D62E5"/>
    <w:rsid w:val="005D7216"/>
    <w:rsid w:val="005E12F7"/>
    <w:rsid w:val="005E548A"/>
    <w:rsid w:val="005E5BCC"/>
    <w:rsid w:val="005E5CCE"/>
    <w:rsid w:val="005E6CCC"/>
    <w:rsid w:val="005F19BB"/>
    <w:rsid w:val="005F3B5B"/>
    <w:rsid w:val="006022C0"/>
    <w:rsid w:val="00602E42"/>
    <w:rsid w:val="00603657"/>
    <w:rsid w:val="0060479B"/>
    <w:rsid w:val="00606A55"/>
    <w:rsid w:val="00611AC2"/>
    <w:rsid w:val="00613BB6"/>
    <w:rsid w:val="0061777B"/>
    <w:rsid w:val="00624066"/>
    <w:rsid w:val="00624620"/>
    <w:rsid w:val="00624946"/>
    <w:rsid w:val="00625173"/>
    <w:rsid w:val="00630CCB"/>
    <w:rsid w:val="00631E71"/>
    <w:rsid w:val="0063350A"/>
    <w:rsid w:val="006340A0"/>
    <w:rsid w:val="0063581A"/>
    <w:rsid w:val="00636BF4"/>
    <w:rsid w:val="00642CB1"/>
    <w:rsid w:val="006431A9"/>
    <w:rsid w:val="006466DF"/>
    <w:rsid w:val="006518D0"/>
    <w:rsid w:val="00652393"/>
    <w:rsid w:val="00656003"/>
    <w:rsid w:val="006571DD"/>
    <w:rsid w:val="0065774D"/>
    <w:rsid w:val="0065792C"/>
    <w:rsid w:val="0066668A"/>
    <w:rsid w:val="00675065"/>
    <w:rsid w:val="00675563"/>
    <w:rsid w:val="00675632"/>
    <w:rsid w:val="00685346"/>
    <w:rsid w:val="00685B24"/>
    <w:rsid w:val="006870E8"/>
    <w:rsid w:val="00690BC5"/>
    <w:rsid w:val="00690C8E"/>
    <w:rsid w:val="006933DD"/>
    <w:rsid w:val="0069471D"/>
    <w:rsid w:val="00695670"/>
    <w:rsid w:val="00695E20"/>
    <w:rsid w:val="006A3BA0"/>
    <w:rsid w:val="006A4EC6"/>
    <w:rsid w:val="006A6DF3"/>
    <w:rsid w:val="006B20D5"/>
    <w:rsid w:val="006B34F6"/>
    <w:rsid w:val="006B4952"/>
    <w:rsid w:val="006B5EA1"/>
    <w:rsid w:val="006B7F10"/>
    <w:rsid w:val="006C042B"/>
    <w:rsid w:val="006C2543"/>
    <w:rsid w:val="006C7C59"/>
    <w:rsid w:val="006D0312"/>
    <w:rsid w:val="006D214E"/>
    <w:rsid w:val="006D2DEA"/>
    <w:rsid w:val="006D2E9C"/>
    <w:rsid w:val="006D30BC"/>
    <w:rsid w:val="006E1A0E"/>
    <w:rsid w:val="006E6E8B"/>
    <w:rsid w:val="006E7C76"/>
    <w:rsid w:val="006F04CD"/>
    <w:rsid w:val="006F07C9"/>
    <w:rsid w:val="006F0A6B"/>
    <w:rsid w:val="006F0F75"/>
    <w:rsid w:val="006F5AC8"/>
    <w:rsid w:val="006F5F50"/>
    <w:rsid w:val="006F721C"/>
    <w:rsid w:val="00704218"/>
    <w:rsid w:val="00706102"/>
    <w:rsid w:val="00711356"/>
    <w:rsid w:val="00716375"/>
    <w:rsid w:val="00724763"/>
    <w:rsid w:val="007326D4"/>
    <w:rsid w:val="007331C5"/>
    <w:rsid w:val="00733D26"/>
    <w:rsid w:val="00733E96"/>
    <w:rsid w:val="00734BE2"/>
    <w:rsid w:val="00734DBA"/>
    <w:rsid w:val="007405AB"/>
    <w:rsid w:val="0074169B"/>
    <w:rsid w:val="007416A5"/>
    <w:rsid w:val="00742326"/>
    <w:rsid w:val="00743F8B"/>
    <w:rsid w:val="007552A7"/>
    <w:rsid w:val="00757FC1"/>
    <w:rsid w:val="00760265"/>
    <w:rsid w:val="00763522"/>
    <w:rsid w:val="00770D89"/>
    <w:rsid w:val="00771FBD"/>
    <w:rsid w:val="00772751"/>
    <w:rsid w:val="00772BFA"/>
    <w:rsid w:val="007732E5"/>
    <w:rsid w:val="00773A1F"/>
    <w:rsid w:val="007750D4"/>
    <w:rsid w:val="00775725"/>
    <w:rsid w:val="00781A2A"/>
    <w:rsid w:val="0079003B"/>
    <w:rsid w:val="00797959"/>
    <w:rsid w:val="007A0298"/>
    <w:rsid w:val="007A0EED"/>
    <w:rsid w:val="007A1F61"/>
    <w:rsid w:val="007A2D00"/>
    <w:rsid w:val="007A3433"/>
    <w:rsid w:val="007A5B38"/>
    <w:rsid w:val="007A7AC5"/>
    <w:rsid w:val="007B1707"/>
    <w:rsid w:val="007B1F48"/>
    <w:rsid w:val="007B4190"/>
    <w:rsid w:val="007B5A22"/>
    <w:rsid w:val="007B7795"/>
    <w:rsid w:val="007C1E2E"/>
    <w:rsid w:val="007C32E6"/>
    <w:rsid w:val="007C6103"/>
    <w:rsid w:val="007C7079"/>
    <w:rsid w:val="007C745E"/>
    <w:rsid w:val="007C7E4A"/>
    <w:rsid w:val="007D249E"/>
    <w:rsid w:val="007D2EE8"/>
    <w:rsid w:val="007D4745"/>
    <w:rsid w:val="007D596E"/>
    <w:rsid w:val="007D61F2"/>
    <w:rsid w:val="007D6288"/>
    <w:rsid w:val="007D7D00"/>
    <w:rsid w:val="007E1576"/>
    <w:rsid w:val="007E2BD2"/>
    <w:rsid w:val="007E5F41"/>
    <w:rsid w:val="007E6CF2"/>
    <w:rsid w:val="007F1EB4"/>
    <w:rsid w:val="007F5493"/>
    <w:rsid w:val="007F5B53"/>
    <w:rsid w:val="007F6DC7"/>
    <w:rsid w:val="0080075E"/>
    <w:rsid w:val="00802AAC"/>
    <w:rsid w:val="00806FED"/>
    <w:rsid w:val="00811115"/>
    <w:rsid w:val="008134C7"/>
    <w:rsid w:val="008139EB"/>
    <w:rsid w:val="008150A6"/>
    <w:rsid w:val="008151E2"/>
    <w:rsid w:val="00816091"/>
    <w:rsid w:val="00816182"/>
    <w:rsid w:val="00821BA2"/>
    <w:rsid w:val="00822824"/>
    <w:rsid w:val="008228B9"/>
    <w:rsid w:val="00824639"/>
    <w:rsid w:val="00826C95"/>
    <w:rsid w:val="00832985"/>
    <w:rsid w:val="008332CE"/>
    <w:rsid w:val="008345B9"/>
    <w:rsid w:val="008354ED"/>
    <w:rsid w:val="00835DAD"/>
    <w:rsid w:val="008376EF"/>
    <w:rsid w:val="00837760"/>
    <w:rsid w:val="00837F02"/>
    <w:rsid w:val="00840EF2"/>
    <w:rsid w:val="0084322A"/>
    <w:rsid w:val="00843C41"/>
    <w:rsid w:val="0084500E"/>
    <w:rsid w:val="008455FB"/>
    <w:rsid w:val="0084584F"/>
    <w:rsid w:val="00850BC8"/>
    <w:rsid w:val="00850E33"/>
    <w:rsid w:val="00856715"/>
    <w:rsid w:val="00856DC0"/>
    <w:rsid w:val="00861CE7"/>
    <w:rsid w:val="00864D01"/>
    <w:rsid w:val="00865BFC"/>
    <w:rsid w:val="0087394A"/>
    <w:rsid w:val="00874D32"/>
    <w:rsid w:val="00881B84"/>
    <w:rsid w:val="008876A3"/>
    <w:rsid w:val="00887DFB"/>
    <w:rsid w:val="0089283A"/>
    <w:rsid w:val="00892ADC"/>
    <w:rsid w:val="00893813"/>
    <w:rsid w:val="00893886"/>
    <w:rsid w:val="0089658C"/>
    <w:rsid w:val="00896F74"/>
    <w:rsid w:val="00897000"/>
    <w:rsid w:val="008A2458"/>
    <w:rsid w:val="008A66B8"/>
    <w:rsid w:val="008A7EED"/>
    <w:rsid w:val="008B2B1D"/>
    <w:rsid w:val="008B5009"/>
    <w:rsid w:val="008B7E45"/>
    <w:rsid w:val="008C1237"/>
    <w:rsid w:val="008C64FB"/>
    <w:rsid w:val="008C771B"/>
    <w:rsid w:val="008C77A4"/>
    <w:rsid w:val="008D0DB7"/>
    <w:rsid w:val="008D2DAF"/>
    <w:rsid w:val="008D4EEC"/>
    <w:rsid w:val="008E1C91"/>
    <w:rsid w:val="008E2EFF"/>
    <w:rsid w:val="008E3B9E"/>
    <w:rsid w:val="008E4E0F"/>
    <w:rsid w:val="008E738E"/>
    <w:rsid w:val="008F0A84"/>
    <w:rsid w:val="008F0CC3"/>
    <w:rsid w:val="008F44C7"/>
    <w:rsid w:val="008F5035"/>
    <w:rsid w:val="008F5056"/>
    <w:rsid w:val="0090408F"/>
    <w:rsid w:val="00906F8A"/>
    <w:rsid w:val="00915570"/>
    <w:rsid w:val="0091611D"/>
    <w:rsid w:val="00916267"/>
    <w:rsid w:val="00921082"/>
    <w:rsid w:val="00922EFB"/>
    <w:rsid w:val="00923A6C"/>
    <w:rsid w:val="009249C8"/>
    <w:rsid w:val="00933F00"/>
    <w:rsid w:val="00935401"/>
    <w:rsid w:val="0094003A"/>
    <w:rsid w:val="0094004A"/>
    <w:rsid w:val="00946A82"/>
    <w:rsid w:val="00951071"/>
    <w:rsid w:val="0095333C"/>
    <w:rsid w:val="00955186"/>
    <w:rsid w:val="00956EE8"/>
    <w:rsid w:val="009643C2"/>
    <w:rsid w:val="00966B6A"/>
    <w:rsid w:val="0097057C"/>
    <w:rsid w:val="009715C5"/>
    <w:rsid w:val="00971AF2"/>
    <w:rsid w:val="009723B8"/>
    <w:rsid w:val="0098281C"/>
    <w:rsid w:val="0098423D"/>
    <w:rsid w:val="009850E9"/>
    <w:rsid w:val="00985DFA"/>
    <w:rsid w:val="00986315"/>
    <w:rsid w:val="009911E3"/>
    <w:rsid w:val="00994E42"/>
    <w:rsid w:val="00995178"/>
    <w:rsid w:val="009A1C33"/>
    <w:rsid w:val="009A2439"/>
    <w:rsid w:val="009A2BFF"/>
    <w:rsid w:val="009A6D30"/>
    <w:rsid w:val="009B206F"/>
    <w:rsid w:val="009B5F6F"/>
    <w:rsid w:val="009B7A7F"/>
    <w:rsid w:val="009B7A90"/>
    <w:rsid w:val="009B7BA4"/>
    <w:rsid w:val="009C1007"/>
    <w:rsid w:val="009C1F6E"/>
    <w:rsid w:val="009C2514"/>
    <w:rsid w:val="009C3C03"/>
    <w:rsid w:val="009C3EBA"/>
    <w:rsid w:val="009C4C61"/>
    <w:rsid w:val="009C5377"/>
    <w:rsid w:val="009C7BA0"/>
    <w:rsid w:val="009D1B51"/>
    <w:rsid w:val="009D52BF"/>
    <w:rsid w:val="009D6DD3"/>
    <w:rsid w:val="009E3F57"/>
    <w:rsid w:val="009E4F8A"/>
    <w:rsid w:val="009E6771"/>
    <w:rsid w:val="009E67E4"/>
    <w:rsid w:val="009F0511"/>
    <w:rsid w:val="009F0732"/>
    <w:rsid w:val="009F1DBD"/>
    <w:rsid w:val="009F22FE"/>
    <w:rsid w:val="009F750B"/>
    <w:rsid w:val="00A00435"/>
    <w:rsid w:val="00A03071"/>
    <w:rsid w:val="00A05B11"/>
    <w:rsid w:val="00A06B7F"/>
    <w:rsid w:val="00A07D9C"/>
    <w:rsid w:val="00A109CC"/>
    <w:rsid w:val="00A13EDB"/>
    <w:rsid w:val="00A14C4D"/>
    <w:rsid w:val="00A15845"/>
    <w:rsid w:val="00A17B52"/>
    <w:rsid w:val="00A2141C"/>
    <w:rsid w:val="00A21B16"/>
    <w:rsid w:val="00A22D76"/>
    <w:rsid w:val="00A24D47"/>
    <w:rsid w:val="00A30370"/>
    <w:rsid w:val="00A32017"/>
    <w:rsid w:val="00A3527C"/>
    <w:rsid w:val="00A37E7E"/>
    <w:rsid w:val="00A4098F"/>
    <w:rsid w:val="00A4193A"/>
    <w:rsid w:val="00A45C6F"/>
    <w:rsid w:val="00A46DCC"/>
    <w:rsid w:val="00A5014E"/>
    <w:rsid w:val="00A562E3"/>
    <w:rsid w:val="00A569D3"/>
    <w:rsid w:val="00A6062B"/>
    <w:rsid w:val="00A62089"/>
    <w:rsid w:val="00A654EF"/>
    <w:rsid w:val="00A658F2"/>
    <w:rsid w:val="00A65AFD"/>
    <w:rsid w:val="00A66B78"/>
    <w:rsid w:val="00A6769B"/>
    <w:rsid w:val="00A677C6"/>
    <w:rsid w:val="00A67E25"/>
    <w:rsid w:val="00A72C38"/>
    <w:rsid w:val="00A72FD2"/>
    <w:rsid w:val="00A7420A"/>
    <w:rsid w:val="00A74D3C"/>
    <w:rsid w:val="00A75DB1"/>
    <w:rsid w:val="00A761C2"/>
    <w:rsid w:val="00A76D29"/>
    <w:rsid w:val="00A86960"/>
    <w:rsid w:val="00A91A54"/>
    <w:rsid w:val="00A91B7E"/>
    <w:rsid w:val="00A96F13"/>
    <w:rsid w:val="00AA1080"/>
    <w:rsid w:val="00AA16D3"/>
    <w:rsid w:val="00AA18CA"/>
    <w:rsid w:val="00AA3BFA"/>
    <w:rsid w:val="00AA5A0A"/>
    <w:rsid w:val="00AA5E84"/>
    <w:rsid w:val="00AA725C"/>
    <w:rsid w:val="00AB3274"/>
    <w:rsid w:val="00AB7A0E"/>
    <w:rsid w:val="00AC0409"/>
    <w:rsid w:val="00AC0C60"/>
    <w:rsid w:val="00AC2E63"/>
    <w:rsid w:val="00AC2EA5"/>
    <w:rsid w:val="00AC3A70"/>
    <w:rsid w:val="00AC63F8"/>
    <w:rsid w:val="00AC7144"/>
    <w:rsid w:val="00AC75AF"/>
    <w:rsid w:val="00AD340C"/>
    <w:rsid w:val="00AD3849"/>
    <w:rsid w:val="00AD3D18"/>
    <w:rsid w:val="00AD4D41"/>
    <w:rsid w:val="00AD4DD2"/>
    <w:rsid w:val="00AD6114"/>
    <w:rsid w:val="00AD74EC"/>
    <w:rsid w:val="00AE01B3"/>
    <w:rsid w:val="00AE0CFD"/>
    <w:rsid w:val="00AE1DA8"/>
    <w:rsid w:val="00AE4D94"/>
    <w:rsid w:val="00AE5612"/>
    <w:rsid w:val="00AE6664"/>
    <w:rsid w:val="00AE6EED"/>
    <w:rsid w:val="00AE74AC"/>
    <w:rsid w:val="00B02758"/>
    <w:rsid w:val="00B02B5A"/>
    <w:rsid w:val="00B036CF"/>
    <w:rsid w:val="00B04B8A"/>
    <w:rsid w:val="00B04BFB"/>
    <w:rsid w:val="00B104AA"/>
    <w:rsid w:val="00B11872"/>
    <w:rsid w:val="00B13979"/>
    <w:rsid w:val="00B15E4F"/>
    <w:rsid w:val="00B2012B"/>
    <w:rsid w:val="00B20B29"/>
    <w:rsid w:val="00B20CB9"/>
    <w:rsid w:val="00B20D52"/>
    <w:rsid w:val="00B2167C"/>
    <w:rsid w:val="00B246D3"/>
    <w:rsid w:val="00B262C9"/>
    <w:rsid w:val="00B26A2C"/>
    <w:rsid w:val="00B30526"/>
    <w:rsid w:val="00B31668"/>
    <w:rsid w:val="00B32FCD"/>
    <w:rsid w:val="00B34577"/>
    <w:rsid w:val="00B34E07"/>
    <w:rsid w:val="00B43464"/>
    <w:rsid w:val="00B45223"/>
    <w:rsid w:val="00B45C7D"/>
    <w:rsid w:val="00B461F3"/>
    <w:rsid w:val="00B50C36"/>
    <w:rsid w:val="00B51C5E"/>
    <w:rsid w:val="00B52083"/>
    <w:rsid w:val="00B52525"/>
    <w:rsid w:val="00B52B44"/>
    <w:rsid w:val="00B52D72"/>
    <w:rsid w:val="00B56BAC"/>
    <w:rsid w:val="00B56D99"/>
    <w:rsid w:val="00B571F4"/>
    <w:rsid w:val="00B64780"/>
    <w:rsid w:val="00B6494B"/>
    <w:rsid w:val="00B65E8E"/>
    <w:rsid w:val="00B67926"/>
    <w:rsid w:val="00B679FA"/>
    <w:rsid w:val="00B72B4C"/>
    <w:rsid w:val="00B75DE1"/>
    <w:rsid w:val="00B76EAC"/>
    <w:rsid w:val="00B81ECA"/>
    <w:rsid w:val="00B838D7"/>
    <w:rsid w:val="00B86A3E"/>
    <w:rsid w:val="00B9113C"/>
    <w:rsid w:val="00B91DE8"/>
    <w:rsid w:val="00B96111"/>
    <w:rsid w:val="00B975ED"/>
    <w:rsid w:val="00B979E2"/>
    <w:rsid w:val="00B97D1F"/>
    <w:rsid w:val="00B97E9D"/>
    <w:rsid w:val="00BA38E0"/>
    <w:rsid w:val="00BA619F"/>
    <w:rsid w:val="00BA7D43"/>
    <w:rsid w:val="00BB02EB"/>
    <w:rsid w:val="00BB0A6C"/>
    <w:rsid w:val="00BB2DBC"/>
    <w:rsid w:val="00BB4AC7"/>
    <w:rsid w:val="00BB4CD0"/>
    <w:rsid w:val="00BB61C1"/>
    <w:rsid w:val="00BB6B4A"/>
    <w:rsid w:val="00BB7E90"/>
    <w:rsid w:val="00BC03CC"/>
    <w:rsid w:val="00BC11D7"/>
    <w:rsid w:val="00BC1B9C"/>
    <w:rsid w:val="00BC2C14"/>
    <w:rsid w:val="00BC31EE"/>
    <w:rsid w:val="00BC3C19"/>
    <w:rsid w:val="00BC4B27"/>
    <w:rsid w:val="00BC5C23"/>
    <w:rsid w:val="00BD15BE"/>
    <w:rsid w:val="00BD3BF3"/>
    <w:rsid w:val="00BD5316"/>
    <w:rsid w:val="00BD6613"/>
    <w:rsid w:val="00BD7E81"/>
    <w:rsid w:val="00BE41BE"/>
    <w:rsid w:val="00BE6F8C"/>
    <w:rsid w:val="00BE735F"/>
    <w:rsid w:val="00BF0B0F"/>
    <w:rsid w:val="00BF150A"/>
    <w:rsid w:val="00BF30A5"/>
    <w:rsid w:val="00BF3210"/>
    <w:rsid w:val="00BF3B09"/>
    <w:rsid w:val="00C03270"/>
    <w:rsid w:val="00C048FB"/>
    <w:rsid w:val="00C04CFA"/>
    <w:rsid w:val="00C076EF"/>
    <w:rsid w:val="00C16C84"/>
    <w:rsid w:val="00C21DB4"/>
    <w:rsid w:val="00C224CD"/>
    <w:rsid w:val="00C25539"/>
    <w:rsid w:val="00C25C2B"/>
    <w:rsid w:val="00C34D95"/>
    <w:rsid w:val="00C357EB"/>
    <w:rsid w:val="00C37015"/>
    <w:rsid w:val="00C40072"/>
    <w:rsid w:val="00C4213E"/>
    <w:rsid w:val="00C438D5"/>
    <w:rsid w:val="00C45741"/>
    <w:rsid w:val="00C472A3"/>
    <w:rsid w:val="00C50C4A"/>
    <w:rsid w:val="00C524B1"/>
    <w:rsid w:val="00C56B9D"/>
    <w:rsid w:val="00C60706"/>
    <w:rsid w:val="00C6464D"/>
    <w:rsid w:val="00C64FE6"/>
    <w:rsid w:val="00C72DBC"/>
    <w:rsid w:val="00C76B39"/>
    <w:rsid w:val="00C8194B"/>
    <w:rsid w:val="00C8510F"/>
    <w:rsid w:val="00C856C4"/>
    <w:rsid w:val="00C8634C"/>
    <w:rsid w:val="00C86F92"/>
    <w:rsid w:val="00C90072"/>
    <w:rsid w:val="00C9533B"/>
    <w:rsid w:val="00CB0748"/>
    <w:rsid w:val="00CB18BD"/>
    <w:rsid w:val="00CB232C"/>
    <w:rsid w:val="00CB2D79"/>
    <w:rsid w:val="00CB2E90"/>
    <w:rsid w:val="00CB4405"/>
    <w:rsid w:val="00CB4EF4"/>
    <w:rsid w:val="00CB5BD0"/>
    <w:rsid w:val="00CB63F6"/>
    <w:rsid w:val="00CC042F"/>
    <w:rsid w:val="00CC11D6"/>
    <w:rsid w:val="00CD2668"/>
    <w:rsid w:val="00CD2FAC"/>
    <w:rsid w:val="00CD495B"/>
    <w:rsid w:val="00CD7C0B"/>
    <w:rsid w:val="00CD7C6C"/>
    <w:rsid w:val="00CE3BDB"/>
    <w:rsid w:val="00CE4305"/>
    <w:rsid w:val="00CE44AB"/>
    <w:rsid w:val="00CE4BC6"/>
    <w:rsid w:val="00CE52BF"/>
    <w:rsid w:val="00CE70DB"/>
    <w:rsid w:val="00CF001E"/>
    <w:rsid w:val="00CF50D5"/>
    <w:rsid w:val="00CF5C9B"/>
    <w:rsid w:val="00CF6662"/>
    <w:rsid w:val="00D01058"/>
    <w:rsid w:val="00D01136"/>
    <w:rsid w:val="00D03474"/>
    <w:rsid w:val="00D03476"/>
    <w:rsid w:val="00D03C0F"/>
    <w:rsid w:val="00D06B71"/>
    <w:rsid w:val="00D105D9"/>
    <w:rsid w:val="00D11FB0"/>
    <w:rsid w:val="00D129B0"/>
    <w:rsid w:val="00D1756F"/>
    <w:rsid w:val="00D21893"/>
    <w:rsid w:val="00D23DB6"/>
    <w:rsid w:val="00D242FC"/>
    <w:rsid w:val="00D26400"/>
    <w:rsid w:val="00D264F9"/>
    <w:rsid w:val="00D35E6A"/>
    <w:rsid w:val="00D361F7"/>
    <w:rsid w:val="00D37A4D"/>
    <w:rsid w:val="00D37BDA"/>
    <w:rsid w:val="00D409F8"/>
    <w:rsid w:val="00D41D8D"/>
    <w:rsid w:val="00D51C08"/>
    <w:rsid w:val="00D51F3E"/>
    <w:rsid w:val="00D55D74"/>
    <w:rsid w:val="00D568D6"/>
    <w:rsid w:val="00D613B2"/>
    <w:rsid w:val="00D61D4F"/>
    <w:rsid w:val="00D62526"/>
    <w:rsid w:val="00D65B3B"/>
    <w:rsid w:val="00D6655A"/>
    <w:rsid w:val="00D73BEF"/>
    <w:rsid w:val="00D75DD7"/>
    <w:rsid w:val="00D8461E"/>
    <w:rsid w:val="00D848AF"/>
    <w:rsid w:val="00D84D41"/>
    <w:rsid w:val="00D85867"/>
    <w:rsid w:val="00D90438"/>
    <w:rsid w:val="00D90F7C"/>
    <w:rsid w:val="00D93BBB"/>
    <w:rsid w:val="00D9483F"/>
    <w:rsid w:val="00D9612C"/>
    <w:rsid w:val="00DA0DFD"/>
    <w:rsid w:val="00DA26D1"/>
    <w:rsid w:val="00DB18FC"/>
    <w:rsid w:val="00DB2769"/>
    <w:rsid w:val="00DB3FFB"/>
    <w:rsid w:val="00DB4762"/>
    <w:rsid w:val="00DB630A"/>
    <w:rsid w:val="00DB6473"/>
    <w:rsid w:val="00DC4AE1"/>
    <w:rsid w:val="00DC6B38"/>
    <w:rsid w:val="00DC767D"/>
    <w:rsid w:val="00DC7A15"/>
    <w:rsid w:val="00DD0CDD"/>
    <w:rsid w:val="00DD26EA"/>
    <w:rsid w:val="00DD35BB"/>
    <w:rsid w:val="00DD7198"/>
    <w:rsid w:val="00DE3B48"/>
    <w:rsid w:val="00DF0FF1"/>
    <w:rsid w:val="00DF1557"/>
    <w:rsid w:val="00DF7223"/>
    <w:rsid w:val="00DF749E"/>
    <w:rsid w:val="00DF7988"/>
    <w:rsid w:val="00E0112E"/>
    <w:rsid w:val="00E02056"/>
    <w:rsid w:val="00E037D5"/>
    <w:rsid w:val="00E07EB9"/>
    <w:rsid w:val="00E10A87"/>
    <w:rsid w:val="00E114BC"/>
    <w:rsid w:val="00E11D50"/>
    <w:rsid w:val="00E13609"/>
    <w:rsid w:val="00E14B3C"/>
    <w:rsid w:val="00E16067"/>
    <w:rsid w:val="00E17358"/>
    <w:rsid w:val="00E212E3"/>
    <w:rsid w:val="00E227F4"/>
    <w:rsid w:val="00E23903"/>
    <w:rsid w:val="00E2575E"/>
    <w:rsid w:val="00E27DAA"/>
    <w:rsid w:val="00E27FDC"/>
    <w:rsid w:val="00E30E7D"/>
    <w:rsid w:val="00E31BA9"/>
    <w:rsid w:val="00E40872"/>
    <w:rsid w:val="00E41594"/>
    <w:rsid w:val="00E46A08"/>
    <w:rsid w:val="00E56FE8"/>
    <w:rsid w:val="00E57C5E"/>
    <w:rsid w:val="00E6057C"/>
    <w:rsid w:val="00E607A7"/>
    <w:rsid w:val="00E63BD1"/>
    <w:rsid w:val="00E6467D"/>
    <w:rsid w:val="00E66BCF"/>
    <w:rsid w:val="00E71342"/>
    <w:rsid w:val="00E728E4"/>
    <w:rsid w:val="00E75741"/>
    <w:rsid w:val="00E83DB2"/>
    <w:rsid w:val="00E85DAF"/>
    <w:rsid w:val="00E87864"/>
    <w:rsid w:val="00E9170D"/>
    <w:rsid w:val="00E9198A"/>
    <w:rsid w:val="00E931C1"/>
    <w:rsid w:val="00E93D73"/>
    <w:rsid w:val="00E94BFD"/>
    <w:rsid w:val="00E94E0E"/>
    <w:rsid w:val="00E97186"/>
    <w:rsid w:val="00E97F6C"/>
    <w:rsid w:val="00EA04D2"/>
    <w:rsid w:val="00EA68DB"/>
    <w:rsid w:val="00EB1A62"/>
    <w:rsid w:val="00EB7A4C"/>
    <w:rsid w:val="00EC2A66"/>
    <w:rsid w:val="00EC3672"/>
    <w:rsid w:val="00ED0960"/>
    <w:rsid w:val="00ED3782"/>
    <w:rsid w:val="00ED56C1"/>
    <w:rsid w:val="00EE1F49"/>
    <w:rsid w:val="00EE1F87"/>
    <w:rsid w:val="00EE3720"/>
    <w:rsid w:val="00EE3F92"/>
    <w:rsid w:val="00EE7634"/>
    <w:rsid w:val="00EF1FCF"/>
    <w:rsid w:val="00EF271D"/>
    <w:rsid w:val="00EF4228"/>
    <w:rsid w:val="00EF4DC8"/>
    <w:rsid w:val="00EF659E"/>
    <w:rsid w:val="00EF6A13"/>
    <w:rsid w:val="00F01751"/>
    <w:rsid w:val="00F02CF2"/>
    <w:rsid w:val="00F0385A"/>
    <w:rsid w:val="00F1070F"/>
    <w:rsid w:val="00F14992"/>
    <w:rsid w:val="00F21D20"/>
    <w:rsid w:val="00F22674"/>
    <w:rsid w:val="00F22B78"/>
    <w:rsid w:val="00F244F9"/>
    <w:rsid w:val="00F25220"/>
    <w:rsid w:val="00F25320"/>
    <w:rsid w:val="00F26FA6"/>
    <w:rsid w:val="00F306D7"/>
    <w:rsid w:val="00F308B7"/>
    <w:rsid w:val="00F31736"/>
    <w:rsid w:val="00F31CAB"/>
    <w:rsid w:val="00F32A46"/>
    <w:rsid w:val="00F37170"/>
    <w:rsid w:val="00F43040"/>
    <w:rsid w:val="00F44E00"/>
    <w:rsid w:val="00F44EC3"/>
    <w:rsid w:val="00F459DC"/>
    <w:rsid w:val="00F46B72"/>
    <w:rsid w:val="00F474AB"/>
    <w:rsid w:val="00F476F6"/>
    <w:rsid w:val="00F47A28"/>
    <w:rsid w:val="00F5050C"/>
    <w:rsid w:val="00F5134E"/>
    <w:rsid w:val="00F528DD"/>
    <w:rsid w:val="00F52A18"/>
    <w:rsid w:val="00F52C68"/>
    <w:rsid w:val="00F53CC6"/>
    <w:rsid w:val="00F564CD"/>
    <w:rsid w:val="00F61702"/>
    <w:rsid w:val="00F62E71"/>
    <w:rsid w:val="00F630C8"/>
    <w:rsid w:val="00F64C12"/>
    <w:rsid w:val="00F6552D"/>
    <w:rsid w:val="00F67278"/>
    <w:rsid w:val="00F710E9"/>
    <w:rsid w:val="00F733F0"/>
    <w:rsid w:val="00F76A72"/>
    <w:rsid w:val="00F77340"/>
    <w:rsid w:val="00F8042D"/>
    <w:rsid w:val="00F85256"/>
    <w:rsid w:val="00F87572"/>
    <w:rsid w:val="00F87CA2"/>
    <w:rsid w:val="00F91976"/>
    <w:rsid w:val="00F92C8D"/>
    <w:rsid w:val="00F931AD"/>
    <w:rsid w:val="00F9741A"/>
    <w:rsid w:val="00FA1F53"/>
    <w:rsid w:val="00FA2095"/>
    <w:rsid w:val="00FA244D"/>
    <w:rsid w:val="00FB1215"/>
    <w:rsid w:val="00FB4CB0"/>
    <w:rsid w:val="00FB6392"/>
    <w:rsid w:val="00FC39BA"/>
    <w:rsid w:val="00FC3DAC"/>
    <w:rsid w:val="00FD1428"/>
    <w:rsid w:val="00FD20C5"/>
    <w:rsid w:val="00FD2761"/>
    <w:rsid w:val="00FD37B5"/>
    <w:rsid w:val="00FD4568"/>
    <w:rsid w:val="00FD5B5E"/>
    <w:rsid w:val="00FD5D95"/>
    <w:rsid w:val="00FD613E"/>
    <w:rsid w:val="00FD6F4D"/>
    <w:rsid w:val="00FE05A0"/>
    <w:rsid w:val="00FE3FCF"/>
    <w:rsid w:val="00FF2E19"/>
    <w:rsid w:val="00FF756F"/>
    <w:rsid w:val="02D66D99"/>
    <w:rsid w:val="02FC45A7"/>
    <w:rsid w:val="033B3FB1"/>
    <w:rsid w:val="06D53013"/>
    <w:rsid w:val="154E7DB8"/>
    <w:rsid w:val="17562080"/>
    <w:rsid w:val="19CF1C75"/>
    <w:rsid w:val="1A271AB1"/>
    <w:rsid w:val="1A900E41"/>
    <w:rsid w:val="1AAC1FB7"/>
    <w:rsid w:val="1B154C4E"/>
    <w:rsid w:val="1CFF5793"/>
    <w:rsid w:val="1D79316F"/>
    <w:rsid w:val="1DAA6C81"/>
    <w:rsid w:val="1E922F8A"/>
    <w:rsid w:val="2178581B"/>
    <w:rsid w:val="22AE5940"/>
    <w:rsid w:val="239F7D82"/>
    <w:rsid w:val="244A4D1A"/>
    <w:rsid w:val="253A0D01"/>
    <w:rsid w:val="2675600A"/>
    <w:rsid w:val="28246841"/>
    <w:rsid w:val="28A33B7A"/>
    <w:rsid w:val="2B9C3C6C"/>
    <w:rsid w:val="2CE90E48"/>
    <w:rsid w:val="310B5904"/>
    <w:rsid w:val="31CD2AE7"/>
    <w:rsid w:val="345160B9"/>
    <w:rsid w:val="38F45B4D"/>
    <w:rsid w:val="3AAD1DB2"/>
    <w:rsid w:val="3EF83EB2"/>
    <w:rsid w:val="44623562"/>
    <w:rsid w:val="4A9532A7"/>
    <w:rsid w:val="4C583BC9"/>
    <w:rsid w:val="4D2E723A"/>
    <w:rsid w:val="4D5438C5"/>
    <w:rsid w:val="4DE247A0"/>
    <w:rsid w:val="54650EB2"/>
    <w:rsid w:val="55903228"/>
    <w:rsid w:val="563A60ED"/>
    <w:rsid w:val="56AD2D63"/>
    <w:rsid w:val="5A9F6E67"/>
    <w:rsid w:val="5C225659"/>
    <w:rsid w:val="5DC10EA2"/>
    <w:rsid w:val="5DC24139"/>
    <w:rsid w:val="61B754A5"/>
    <w:rsid w:val="6A8F3B8F"/>
    <w:rsid w:val="6C181159"/>
    <w:rsid w:val="6FFD1947"/>
    <w:rsid w:val="70C20D61"/>
    <w:rsid w:val="734F043A"/>
    <w:rsid w:val="74B135C7"/>
    <w:rsid w:val="76DB0DCF"/>
    <w:rsid w:val="78A65DEF"/>
    <w:rsid w:val="797A6F35"/>
    <w:rsid w:val="7AD832E2"/>
    <w:rsid w:val="7C88029A"/>
    <w:rsid w:val="7E12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200"/>
      <w:ind w:left="0" w:leftChars="0"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annotation text"/>
    <w:basedOn w:val="1"/>
    <w:link w:val="38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1"/>
    <w:qFormat/>
    <w:uiPriority w:val="0"/>
    <w:rPr>
      <w:b/>
      <w:sz w:val="28"/>
    </w:rPr>
  </w:style>
  <w:style w:type="paragraph" w:styleId="6">
    <w:name w:val="Balloon Text"/>
    <w:basedOn w:val="1"/>
    <w:link w:val="4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annotation subject"/>
    <w:basedOn w:val="4"/>
    <w:next w:val="4"/>
    <w:link w:val="39"/>
    <w:semiHidden/>
    <w:unhideWhenUsed/>
    <w:qFormat/>
    <w:uiPriority w:val="99"/>
    <w:rPr>
      <w:b/>
      <w:bCs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customStyle="1" w:styleId="14">
    <w:name w:val="※封面大标题"/>
    <w:basedOn w:val="1"/>
    <w:next w:val="1"/>
    <w:qFormat/>
    <w:uiPriority w:val="0"/>
    <w:pPr>
      <w:widowControl/>
      <w:jc w:val="center"/>
    </w:pPr>
    <w:rPr>
      <w:rFonts w:ascii="华文中宋" w:hAnsi="华文中宋" w:eastAsia="华文中宋"/>
      <w:sz w:val="96"/>
      <w:szCs w:val="96"/>
    </w:rPr>
  </w:style>
  <w:style w:type="paragraph" w:customStyle="1" w:styleId="15">
    <w:name w:val="※封面题颌"/>
    <w:basedOn w:val="1"/>
    <w:next w:val="1"/>
    <w:qFormat/>
    <w:uiPriority w:val="0"/>
    <w:pPr>
      <w:widowControl/>
      <w:jc w:val="center"/>
    </w:pPr>
    <w:rPr>
      <w:rFonts w:ascii="Calibri Light" w:hAnsi="Calibri Light" w:eastAsia="华文仿宋"/>
      <w:sz w:val="36"/>
      <w:szCs w:val="36"/>
    </w:rPr>
  </w:style>
  <w:style w:type="paragraph" w:customStyle="1" w:styleId="16">
    <w:name w:val="※封面题眉"/>
    <w:basedOn w:val="1"/>
    <w:next w:val="14"/>
    <w:qFormat/>
    <w:uiPriority w:val="0"/>
    <w:pPr>
      <w:widowControl/>
      <w:jc w:val="center"/>
    </w:pPr>
    <w:rPr>
      <w:rFonts w:ascii="华文仿宋" w:hAnsi="华文仿宋" w:eastAsia="华文仿宋"/>
      <w:sz w:val="52"/>
      <w:szCs w:val="28"/>
    </w:rPr>
  </w:style>
  <w:style w:type="paragraph" w:customStyle="1" w:styleId="17">
    <w:name w:val="※封面题须"/>
    <w:basedOn w:val="1"/>
    <w:qFormat/>
    <w:uiPriority w:val="0"/>
    <w:pPr>
      <w:widowControl/>
      <w:ind w:left="850" w:leftChars="350" w:right="250" w:rightChars="250" w:hanging="500" w:hangingChars="500"/>
      <w:jc w:val="left"/>
    </w:pPr>
    <w:rPr>
      <w:rFonts w:ascii="Calibri Light" w:hAnsi="Calibri Light" w:eastAsia="华文仿宋"/>
      <w:sz w:val="36"/>
      <w:szCs w:val="36"/>
    </w:rPr>
  </w:style>
  <w:style w:type="paragraph" w:customStyle="1" w:styleId="18">
    <w:name w:val="※目录（次）"/>
    <w:basedOn w:val="1"/>
    <w:qFormat/>
    <w:uiPriority w:val="0"/>
    <w:pPr>
      <w:widowControl/>
      <w:tabs>
        <w:tab w:val="right" w:leader="hyphen" w:pos="8400"/>
      </w:tabs>
      <w:wordWrap w:val="0"/>
      <w:ind w:left="700" w:leftChars="200" w:right="300" w:rightChars="300" w:hanging="500" w:hangingChars="500"/>
      <w:jc w:val="left"/>
    </w:pPr>
    <w:rPr>
      <w:rFonts w:ascii="Calibri Light" w:hAnsi="Calibri Light" w:eastAsia="华文仿宋"/>
      <w:sz w:val="36"/>
      <w:szCs w:val="28"/>
    </w:rPr>
  </w:style>
  <w:style w:type="paragraph" w:customStyle="1" w:styleId="19">
    <w:name w:val="※目录（主）"/>
    <w:basedOn w:val="1"/>
    <w:qFormat/>
    <w:uiPriority w:val="0"/>
    <w:pPr>
      <w:widowControl/>
      <w:tabs>
        <w:tab w:val="right" w:leader="hyphen" w:pos="8400"/>
      </w:tabs>
      <w:spacing w:after="100" w:afterLines="100" w:line="400" w:lineRule="exact"/>
      <w:ind w:left="200" w:leftChars="200" w:right="200" w:rightChars="200" w:hanging="499" w:hangingChars="400"/>
      <w:jc w:val="left"/>
    </w:pPr>
    <w:rPr>
      <w:rFonts w:ascii="Calibri Light" w:hAnsi="Calibri Light" w:eastAsia="华文仿宋"/>
      <w:sz w:val="36"/>
      <w:szCs w:val="36"/>
    </w:rPr>
  </w:style>
  <w:style w:type="paragraph" w:customStyle="1" w:styleId="20">
    <w:name w:val="※小标题 1"/>
    <w:basedOn w:val="1"/>
    <w:next w:val="1"/>
    <w:qFormat/>
    <w:uiPriority w:val="0"/>
    <w:pPr>
      <w:widowControl/>
      <w:wordWrap w:val="0"/>
      <w:spacing w:before="20" w:after="20" w:line="400" w:lineRule="exact"/>
      <w:ind w:firstLine="200" w:firstLineChars="200"/>
      <w:jc w:val="left"/>
      <w:outlineLvl w:val="4"/>
    </w:pPr>
    <w:rPr>
      <w:rFonts w:ascii="Calibri Light" w:hAnsi="Calibri Light" w:eastAsia="华文仿宋"/>
      <w:b/>
      <w:sz w:val="28"/>
      <w:szCs w:val="28"/>
    </w:rPr>
  </w:style>
  <w:style w:type="paragraph" w:customStyle="1" w:styleId="21">
    <w:name w:val="※正文"/>
    <w:basedOn w:val="1"/>
    <w:next w:val="1"/>
    <w:qFormat/>
    <w:uiPriority w:val="0"/>
    <w:pPr>
      <w:widowControl/>
      <w:wordWrap w:val="0"/>
      <w:spacing w:line="400" w:lineRule="exact"/>
    </w:pPr>
    <w:rPr>
      <w:rFonts w:ascii="Calibri Light" w:hAnsi="Calibri Light" w:eastAsia="华文仿宋"/>
      <w:sz w:val="28"/>
      <w:szCs w:val="28"/>
    </w:rPr>
  </w:style>
  <w:style w:type="paragraph" w:customStyle="1" w:styleId="22">
    <w:name w:val="※小标题 一"/>
    <w:basedOn w:val="21"/>
    <w:next w:val="21"/>
    <w:qFormat/>
    <w:uiPriority w:val="0"/>
    <w:pPr>
      <w:spacing w:before="120" w:line="240" w:lineRule="auto"/>
      <w:outlineLvl w:val="2"/>
    </w:pPr>
    <w:rPr>
      <w:b/>
      <w:color w:val="203864" w:themeColor="accent5" w:themeShade="80"/>
      <w:sz w:val="32"/>
    </w:rPr>
  </w:style>
  <w:style w:type="paragraph" w:customStyle="1" w:styleId="23">
    <w:name w:val="※小标题（1）"/>
    <w:basedOn w:val="1"/>
    <w:next w:val="21"/>
    <w:qFormat/>
    <w:uiPriority w:val="0"/>
    <w:pPr>
      <w:widowControl/>
      <w:wordWrap w:val="0"/>
      <w:spacing w:line="400" w:lineRule="exact"/>
      <w:ind w:firstLine="200" w:firstLineChars="200"/>
      <w:outlineLvl w:val="5"/>
    </w:pPr>
    <w:rPr>
      <w:rFonts w:ascii="Calibri Light" w:hAnsi="Calibri Light" w:eastAsia="华文仿宋"/>
      <w:b/>
      <w:sz w:val="28"/>
      <w:szCs w:val="28"/>
    </w:rPr>
  </w:style>
  <w:style w:type="paragraph" w:customStyle="1" w:styleId="24">
    <w:name w:val="※小标题（一）"/>
    <w:basedOn w:val="1"/>
    <w:next w:val="21"/>
    <w:qFormat/>
    <w:uiPriority w:val="0"/>
    <w:pPr>
      <w:widowControl/>
      <w:wordWrap w:val="0"/>
      <w:spacing w:before="60" w:after="60" w:line="400" w:lineRule="exact"/>
      <w:ind w:firstLine="200" w:firstLineChars="200"/>
      <w:outlineLvl w:val="3"/>
    </w:pPr>
    <w:rPr>
      <w:rFonts w:ascii="Calibri Light" w:hAnsi="Calibri Light" w:eastAsia="华文仿宋"/>
      <w:b/>
      <w:sz w:val="28"/>
      <w:szCs w:val="28"/>
    </w:rPr>
  </w:style>
  <w:style w:type="paragraph" w:customStyle="1" w:styleId="25">
    <w:name w:val="※页脚（横屏）"/>
    <w:basedOn w:val="1"/>
    <w:qFormat/>
    <w:uiPriority w:val="0"/>
    <w:pPr>
      <w:widowControl/>
      <w:tabs>
        <w:tab w:val="center" w:pos="7000"/>
      </w:tabs>
      <w:wordWrap w:val="0"/>
      <w:spacing w:line="240" w:lineRule="atLeast"/>
      <w:jc w:val="left"/>
    </w:pPr>
    <w:rPr>
      <w:rFonts w:ascii="宋体" w:hAnsi="宋体"/>
      <w:sz w:val="18"/>
      <w:szCs w:val="18"/>
    </w:rPr>
  </w:style>
  <w:style w:type="paragraph" w:customStyle="1" w:styleId="26">
    <w:name w:val="※页脚（竖屏）"/>
    <w:basedOn w:val="1"/>
    <w:qFormat/>
    <w:uiPriority w:val="0"/>
    <w:pPr>
      <w:widowControl/>
      <w:tabs>
        <w:tab w:val="center" w:pos="4536"/>
      </w:tabs>
      <w:wordWrap w:val="0"/>
      <w:spacing w:line="240" w:lineRule="atLeast"/>
      <w:jc w:val="left"/>
    </w:pPr>
    <w:rPr>
      <w:rFonts w:ascii="宋体" w:hAnsi="宋体"/>
      <w:sz w:val="18"/>
      <w:szCs w:val="18"/>
    </w:rPr>
  </w:style>
  <w:style w:type="paragraph" w:customStyle="1" w:styleId="27">
    <w:name w:val="※页眉"/>
    <w:basedOn w:val="21"/>
    <w:qFormat/>
    <w:uiPriority w:val="0"/>
    <w:pPr>
      <w:pBdr>
        <w:bottom w:val="single" w:color="auto" w:sz="4" w:space="1"/>
      </w:pBdr>
      <w:spacing w:line="240" w:lineRule="atLeast"/>
      <w:jc w:val="right"/>
    </w:pPr>
    <w:rPr>
      <w:rFonts w:ascii="宋体" w:hAnsi="宋体" w:eastAsia="宋体"/>
      <w:sz w:val="18"/>
    </w:rPr>
  </w:style>
  <w:style w:type="paragraph" w:customStyle="1" w:styleId="28">
    <w:name w:val="※章节标题（第X章）"/>
    <w:basedOn w:val="1"/>
    <w:qFormat/>
    <w:uiPriority w:val="0"/>
    <w:pPr>
      <w:widowControl/>
      <w:jc w:val="center"/>
      <w:outlineLvl w:val="0"/>
    </w:pPr>
    <w:rPr>
      <w:rFonts w:ascii="Calibri Light" w:hAnsi="Calibri Light" w:eastAsia="黑体"/>
      <w:sz w:val="36"/>
      <w:szCs w:val="28"/>
    </w:rPr>
  </w:style>
  <w:style w:type="paragraph" w:customStyle="1" w:styleId="29">
    <w:name w:val="※章节标题（第Y部分）"/>
    <w:basedOn w:val="1"/>
    <w:next w:val="1"/>
    <w:qFormat/>
    <w:uiPriority w:val="0"/>
    <w:pPr>
      <w:widowControl/>
      <w:jc w:val="center"/>
      <w:outlineLvl w:val="1"/>
    </w:pPr>
    <w:rPr>
      <w:rFonts w:ascii="Calibri Light" w:hAnsi="Calibri Light" w:eastAsia="黑体"/>
      <w:color w:val="1F4E79" w:themeColor="accent1" w:themeShade="80"/>
      <w:sz w:val="32"/>
      <w:szCs w:val="36"/>
    </w:rPr>
  </w:style>
  <w:style w:type="paragraph" w:customStyle="1" w:styleId="30">
    <w:name w:val="※章节标题（第Z部分分项）"/>
    <w:basedOn w:val="29"/>
    <w:qFormat/>
    <w:uiPriority w:val="0"/>
    <w:pPr>
      <w:outlineLvl w:val="2"/>
    </w:pPr>
  </w:style>
  <w:style w:type="paragraph" w:customStyle="1" w:styleId="31">
    <w:name w:val="※正文（落款）"/>
    <w:basedOn w:val="1"/>
    <w:qFormat/>
    <w:uiPriority w:val="0"/>
    <w:pPr>
      <w:widowControl/>
      <w:tabs>
        <w:tab w:val="center" w:pos="6663"/>
      </w:tabs>
      <w:wordWrap w:val="0"/>
      <w:spacing w:line="240" w:lineRule="atLeast"/>
      <w:jc w:val="left"/>
    </w:pPr>
    <w:rPr>
      <w:rFonts w:ascii="Calibri Light" w:hAnsi="Calibri Light" w:eastAsia="华文仿宋"/>
      <w:sz w:val="28"/>
      <w:szCs w:val="28"/>
    </w:rPr>
  </w:style>
  <w:style w:type="paragraph" w:customStyle="1" w:styleId="32">
    <w:name w:val="※正文（缩进2）"/>
    <w:basedOn w:val="21"/>
    <w:qFormat/>
    <w:uiPriority w:val="0"/>
    <w:pPr>
      <w:ind w:firstLine="200" w:firstLineChars="200"/>
    </w:pPr>
  </w:style>
  <w:style w:type="paragraph" w:customStyle="1" w:styleId="33">
    <w:name w:val="※正文（缩进4）"/>
    <w:basedOn w:val="21"/>
    <w:qFormat/>
    <w:uiPriority w:val="0"/>
    <w:pPr>
      <w:ind w:firstLine="400" w:firstLineChars="400"/>
    </w:pPr>
  </w:style>
  <w:style w:type="paragraph" w:customStyle="1" w:styleId="34">
    <w:name w:val="样式"/>
    <w:link w:val="35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customStyle="1" w:styleId="35">
    <w:name w:val="样式 Char Char"/>
    <w:link w:val="34"/>
    <w:qFormat/>
    <w:locked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36">
    <w:name w:val="页眉 Char"/>
    <w:basedOn w:val="12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7">
    <w:name w:val="页脚 Char"/>
    <w:basedOn w:val="12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8">
    <w:name w:val="批注文字 Char"/>
    <w:basedOn w:val="12"/>
    <w:link w:val="4"/>
    <w:semiHidden/>
    <w:qFormat/>
    <w:uiPriority w:val="99"/>
    <w:rPr>
      <w:rFonts w:ascii="Calibri" w:hAnsi="Calibri" w:eastAsia="宋体" w:cs="Times New Roman"/>
    </w:rPr>
  </w:style>
  <w:style w:type="character" w:customStyle="1" w:styleId="39">
    <w:name w:val="批注主题 Char"/>
    <w:basedOn w:val="38"/>
    <w:link w:val="10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40">
    <w:name w:val="批注框文本 Char"/>
    <w:basedOn w:val="12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4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2025</Words>
  <Characters>2228</Characters>
  <Lines>20</Lines>
  <Paragraphs>5</Paragraphs>
  <TotalTime>2</TotalTime>
  <ScaleCrop>false</ScaleCrop>
  <LinksUpToDate>false</LinksUpToDate>
  <CharactersWithSpaces>2268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2021-03-19T04:47:00Z</dcterms:created>
  <dc:creator>lenovo</dc:creator>
  <cp:lastModifiedBy>sunshine</cp:lastModifiedBy>
  <dcterms:modified xsi:type="dcterms:W3CDTF">2024-12-23T13:11:24Z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A76ECD41FA4E4566A194388ACF43B06E_12</vt:lpwstr>
  </property>
</Properties>
</file>