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雁塔区政府电子政务网络平台加固集成及运维项目</w:t>
      </w:r>
    </w:p>
    <w:p>
      <w:pPr>
        <w:pStyle w:val="null3"/>
        <w:jc w:val="center"/>
        <w:outlineLvl w:val="2"/>
      </w:pPr>
      <w:r>
        <w:rPr>
          <w:b/>
          <w:sz w:val="28"/>
        </w:rPr>
        <w:t>采购项目编号：</w:t>
      </w:r>
      <w:r>
        <w:rPr>
          <w:b/>
          <w:sz w:val="28"/>
        </w:rPr>
        <w:t>SZT2024-SN-QC-ZC-FW-0129.</w:t>
      </w:r>
      <w:r>
        <w:br/>
      </w:r>
      <w:r>
        <w:br/>
      </w:r>
      <w:r>
        <w:br/>
      </w:r>
    </w:p>
    <w:p>
      <w:pPr>
        <w:pStyle w:val="null3"/>
        <w:jc w:val="center"/>
        <w:outlineLvl w:val="2"/>
      </w:pPr>
      <w:r>
        <w:rPr>
          <w:b/>
          <w:sz w:val="28"/>
        </w:rPr>
        <w:t>西安市雁塔区人民政府办公室</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2024年03月21日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陕西中技招标有限公司</w:t>
      </w:r>
      <w:r>
        <w:rPr/>
        <w:t>（以下简称“代理机构”）受</w:t>
      </w:r>
      <w:r>
        <w:rPr/>
        <w:t>西安市雁塔区人民政府办公室</w:t>
      </w:r>
      <w:r>
        <w:rPr/>
        <w:t>委托，拟对</w:t>
      </w:r>
      <w:r>
        <w:rPr/>
        <w:t>雁塔区政府电子政务网络平台加固集成及运维项目</w:t>
      </w:r>
      <w:r>
        <w:rPr/>
        <w:t>采用竞争性磋商采购方式进行采购，兹邀请供应商参加本项目的竞争性磋商。</w:t>
      </w:r>
    </w:p>
    <w:p>
      <w:pPr>
        <w:pStyle w:val="null3"/>
        <w:outlineLvl w:val="2"/>
      </w:pPr>
      <w:r>
        <w:rPr>
          <w:b/>
          <w:sz w:val="28"/>
        </w:rPr>
        <w:t>一、项目编号：</w:t>
      </w:r>
      <w:r>
        <w:rPr>
          <w:b/>
          <w:sz w:val="28"/>
        </w:rPr>
        <w:t>SZT2024-SN-QC-ZC-FW-0129.</w:t>
      </w:r>
    </w:p>
    <w:p>
      <w:pPr>
        <w:pStyle w:val="null3"/>
        <w:outlineLvl w:val="2"/>
      </w:pPr>
      <w:r>
        <w:rPr>
          <w:b/>
          <w:sz w:val="28"/>
        </w:rPr>
        <w:t>二、项目名称：</w:t>
      </w:r>
      <w:r>
        <w:rPr>
          <w:b/>
          <w:sz w:val="28"/>
        </w:rPr>
        <w:t>雁塔区政府电子政务网络平台加固集成及运维项目</w:t>
      </w:r>
    </w:p>
    <w:p>
      <w:pPr>
        <w:pStyle w:val="null3"/>
        <w:outlineLvl w:val="2"/>
      </w:pPr>
      <w:r>
        <w:rPr>
          <w:b/>
          <w:sz w:val="28"/>
        </w:rPr>
        <w:t>三、磋商项目简介</w:t>
      </w:r>
    </w:p>
    <w:p>
      <w:pPr>
        <w:pStyle w:val="null3"/>
        <w:ind w:firstLine="480"/>
      </w:pPr>
      <w:r>
        <w:rPr/>
        <w:t>雁塔区政府电子政务网络平台加固集成及运维项目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负责人参加的，须提供本人身份证复印件加盖公章并出示身份证原件；法定代表人/负责人授权他人参加的，须提供法定代表人/负责人委托授权书原件加盖公章，并出示被授权代表的身份证原件及复印件加盖公章；：法定代表人/负责人参加的，须提供本人身份证复印件加盖公章并出示身份证原件；法定代表人/负责人授权他人参加的，须提供法定代表人/负责人委托授权书原件加盖公章，并出示被授权代表的身份证原件及复印件加盖公章；供应商需在项目电子化交易系统中按要求上传相应证明文件并进行电子签章。</w:t>
      </w:r>
    </w:p>
    <w:p>
      <w:pPr>
        <w:pStyle w:val="null3"/>
      </w:pPr>
      <w:r>
        <w:rPr/>
        <w:t>2、本项目不接受联合体磋商;：本项目不接受联合体磋商;供应商需在项目电子化交易系统中按要求上传相应证明文件并进行电子签章。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西安市雁塔区人民政府办公室</w:t>
      </w:r>
    </w:p>
    <w:p>
      <w:pPr>
        <w:pStyle w:val="null3"/>
      </w:pPr>
      <w:r>
        <w:rPr/>
        <w:t xml:space="preserve"> 地址： </w:t>
      </w:r>
      <w:r>
        <w:rPr/>
        <w:t>西安市雁塔区小寨东路168号</w:t>
      </w:r>
    </w:p>
    <w:p>
      <w:pPr>
        <w:pStyle w:val="null3"/>
      </w:pPr>
      <w:r>
        <w:rPr/>
        <w:t xml:space="preserve"> 邮编： </w:t>
      </w:r>
      <w:r>
        <w:rPr/>
        <w:t>710061</w:t>
      </w:r>
    </w:p>
    <w:p>
      <w:pPr>
        <w:pStyle w:val="null3"/>
      </w:pPr>
      <w:r>
        <w:rPr/>
        <w:t xml:space="preserve"> 联系人： </w:t>
      </w:r>
      <w:r>
        <w:rPr/>
        <w:t>张家豪</w:t>
      </w:r>
    </w:p>
    <w:p>
      <w:pPr>
        <w:pStyle w:val="null3"/>
      </w:pPr>
      <w:r>
        <w:rPr/>
        <w:t xml:space="preserve"> 联系电话： </w:t>
      </w:r>
      <w:r>
        <w:rPr/>
        <w:t>029-85382240</w:t>
      </w:r>
    </w:p>
    <w:p>
      <w:pPr>
        <w:pStyle w:val="null3"/>
        <w:outlineLvl w:val="3"/>
      </w:pPr>
      <w:r>
        <w:rPr>
          <w:b/>
          <w:sz w:val="24"/>
        </w:rPr>
        <w:t>代理机构：</w:t>
      </w:r>
      <w:r>
        <w:rPr>
          <w:b/>
          <w:sz w:val="24"/>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王哲、胡婷、史肖霞</w:t>
      </w:r>
    </w:p>
    <w:p>
      <w:pPr>
        <w:pStyle w:val="null3"/>
      </w:pPr>
      <w:r>
        <w:rPr/>
        <w:t xml:space="preserve"> 联系电话： </w:t>
      </w:r>
      <w:r>
        <w:rPr/>
        <w:t>029-88364979-827</w:t>
      </w:r>
    </w:p>
    <w:p>
      <w:pPr>
        <w:pStyle w:val="null3"/>
        <w:outlineLvl w:val="3"/>
      </w:pPr>
      <w:r>
        <w:rPr>
          <w:b/>
          <w:sz w:val="24"/>
        </w:rPr>
        <w:t>采购监督机构：</w:t>
      </w:r>
      <w:r>
        <w:rPr>
          <w:b/>
          <w:sz w:val="24"/>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照国家计委关于印发《招标代理服务收费管理暂行办法》（计价格[2002]1980号）的通知和《国家发改委关于降低部分建设项目收费标准规范收费行为等有关问题的通知》（发改价格〔2011〕534号）的有关规定，按服务类收费标准收取，定额收取招标代理服务费人民币肆万贰仟捌佰元整。</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西安市雁塔区人民政府办公室</w:t>
      </w:r>
      <w:r>
        <w:rPr/>
        <w:t>和</w:t>
      </w:r>
      <w:r>
        <w:rPr/>
        <w:t>陕西中技招标有限公司</w:t>
      </w:r>
      <w:r>
        <w:rPr/>
        <w:t>享有。对磋商文件中供应商参加本次政府采购活动应当具备的条件，磋商项目技术、服务、商务及其他要求，评审细则及标准由</w:t>
      </w:r>
      <w:r>
        <w:rPr/>
        <w:t>西安市雁塔区人民政府办公室</w:t>
      </w:r>
      <w:r>
        <w:rPr/>
        <w:t>负责解释。除上述磋商文件内容，其他内容由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西安市雁塔区人民政府办公室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国家相应的标准、规范</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地址：西安市高新区高新四路1号高科广场A座10楼1001室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基于当前西安市雁塔区政府的现状，需通过购买延续服务、新增安全设备、运维保障服务、设备维保等完成基础安全保障、安全能力提升和驻场安全运维，实现常规日常网络运维保障、全天候威胁感知与预防、风险事件预警复核及处置、应急事件分析溯源、自动化处置响应、全流量回溯、重大活动保障等能力建设.</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项</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一、项目背景</w:t>
            </w:r>
          </w:p>
          <w:p>
            <w:pPr>
              <w:pStyle w:val="null3"/>
              <w:ind w:firstLine="480"/>
              <w:jc w:val="both"/>
            </w:pPr>
            <w:r>
              <w:rPr>
                <w:rFonts w:ascii="宋体" w:hAnsi="宋体" w:cs="宋体" w:eastAsia="宋体"/>
                <w:sz w:val="24"/>
              </w:rPr>
              <w:t>西安市雁塔区政府云政务数据中心机房位于小寨区政府办公院内，网络覆盖包括南院与北院区域、多个街道办事处、服务中心等院外办公单位，所有业务均通过政务数据中心机房对互联网或政务网进行访问，承载着南北院、各街办及横向单位的在线办公需求。当前雁塔区电子政务网络建设符合等级保护三级要求，具备基本的网络安全防护措施。但在网络安全形势瞬息万变的特点面前，现有的措施需紧跟复杂的安全局势进行动态调整，雁塔区政府云政务数据中心机房还需持续完善以下问题：</w:t>
            </w:r>
          </w:p>
          <w:p>
            <w:pPr>
              <w:pStyle w:val="null3"/>
              <w:ind w:firstLine="480"/>
              <w:jc w:val="both"/>
            </w:pPr>
            <w:r>
              <w:rPr>
                <w:rFonts w:ascii="宋体" w:hAnsi="宋体" w:cs="宋体" w:eastAsia="宋体"/>
                <w:sz w:val="24"/>
              </w:rPr>
              <w:t>1. 原有多个设备维保服务及特征库即将到期，需要购买维保服务保证设备正常运行。安全服务期限已到，需持续采购专业的安全服务，开展现场支撑工作和应急响应工作，及时有效的处置网络中的问题。</w:t>
            </w:r>
          </w:p>
          <w:p>
            <w:pPr>
              <w:pStyle w:val="null3"/>
              <w:ind w:firstLine="480"/>
              <w:jc w:val="both"/>
            </w:pPr>
            <w:r>
              <w:rPr>
                <w:rFonts w:ascii="宋体" w:hAnsi="宋体" w:cs="宋体" w:eastAsia="宋体"/>
                <w:sz w:val="24"/>
              </w:rPr>
              <w:t>2. 核心机房UPS电池组仅能支撑应急电力供应2小时，不足以支撑区政府紧急情况下的使用。</w:t>
            </w:r>
          </w:p>
          <w:p>
            <w:pPr>
              <w:pStyle w:val="null3"/>
              <w:ind w:firstLine="480"/>
              <w:jc w:val="both"/>
            </w:pPr>
            <w:r>
              <w:rPr>
                <w:rFonts w:ascii="宋体" w:hAnsi="宋体" w:cs="宋体" w:eastAsia="宋体"/>
                <w:sz w:val="24"/>
              </w:rPr>
              <w:t>3. 当前在安全风险发生后，主要由现场安服人员通过人工研判确定风险，然后在边界安全设备上手动封禁或处置，处置效率低下且不及时。针对安全监管单位的通报，无法对整体网络通讯数据进行挖掘和回溯分析，无法对流量数据的异常进行监测及预警，无法实现对重要网络节点的全方位监测，导致内部溯源和问题排查无法及时有效完成。</w:t>
            </w:r>
          </w:p>
          <w:p>
            <w:pPr>
              <w:pStyle w:val="null3"/>
              <w:ind w:firstLine="480"/>
              <w:jc w:val="both"/>
            </w:pPr>
            <w:r>
              <w:rPr>
                <w:rFonts w:ascii="宋体" w:hAnsi="宋体" w:cs="宋体" w:eastAsia="宋体"/>
                <w:sz w:val="24"/>
              </w:rPr>
              <w:t>4．网络及机房运维保障即将到期，需持续采购网络保障服务、现场保障人员及安全驻场人员，负责日常5*8小时保障、常态7*24小时监测以及重保时期的值守。同时补齐工作日除外的其他时间段的网络安全持续监测，实现全年24小时安全监测和分析。</w:t>
            </w:r>
          </w:p>
          <w:p>
            <w:pPr>
              <w:pStyle w:val="null3"/>
              <w:ind w:firstLine="480"/>
              <w:jc w:val="both"/>
            </w:pPr>
            <w:r>
              <w:rPr>
                <w:rFonts w:ascii="宋体" w:hAnsi="宋体" w:cs="宋体" w:eastAsia="宋体"/>
                <w:sz w:val="24"/>
              </w:rPr>
              <w:t>雁塔区政府云政务数据中心机房部分设备清单：</w:t>
            </w:r>
          </w:p>
          <w:tbl>
            <w:tblPr>
              <w:tblBorders>
                <w:top w:val="none" w:color="000000" w:sz="4"/>
                <w:left w:val="none" w:color="000000" w:sz="4"/>
                <w:bottom w:val="none" w:color="000000" w:sz="4"/>
                <w:right w:val="none" w:color="000000" w:sz="4"/>
                <w:insideH w:val="none"/>
                <w:insideV w:val="none"/>
              </w:tblBorders>
            </w:tblPr>
            <w:tblGrid>
              <w:gridCol w:w="345"/>
              <w:gridCol w:w="1000"/>
              <w:gridCol w:w="838"/>
              <w:gridCol w:w="285"/>
              <w:gridCol w:w="69"/>
            </w:tblGrid>
            <w:tr>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0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设备名称</w:t>
                  </w:r>
                </w:p>
              </w:tc>
              <w:tc>
                <w:tcPr>
                  <w:tcW w:type="dxa" w:w="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型号</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机柜</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IEGRAND</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机柜</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图腾</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机柜</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32</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9306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3700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35</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5700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2700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8</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H3C3100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5720S-52P</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H3CS5500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11</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优力普</w:t>
                  </w:r>
                  <w:r>
                    <w:rPr>
                      <w:rFonts w:ascii="宋体" w:hAnsi="宋体" w:cs="宋体" w:eastAsia="宋体"/>
                      <w:sz w:val="24"/>
                    </w:rPr>
                    <w:t>PM3026GSN</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AC6605-26-PWR</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13</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S2300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14</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S5720-56C</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15</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H3C5800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16</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S12704</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17</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路由器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NE40E</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18</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外网模块</w:t>
                  </w:r>
                  <w:r>
                    <w:rPr>
                      <w:rFonts w:ascii="宋体" w:hAnsi="宋体" w:cs="宋体" w:eastAsia="宋体"/>
                      <w:sz w:val="24"/>
                    </w:rPr>
                    <w:t>ECC</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R4815N</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19</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网络安全审计系统</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启明星辰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网络安全审计</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天融信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21</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安全准入专家</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INROGO</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22</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路由器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H3CMSR50-60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23</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网闸</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启明星辰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24</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防火墙</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启明星辰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25</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配电柜</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PDU8000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26</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网络安全审计</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天融信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27</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防火墙</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天融信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28</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防火墙</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启明星辰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29</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防火墙</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启明星辰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30</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转椅</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黑色扶手</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31</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防火墙</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天融信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32</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防火墙</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启明星辰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33</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网络安全审计系统</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启明星辰</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34</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VPN</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天融信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35</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电脑桌</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1.2*0.6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36</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防病毒网关</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天融信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37</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配电柜</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华为黑色</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38</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上网行为管理</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天融信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39</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柜式七氟丙烷气体灭火装置</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HFC-227ea</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40</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防火墙</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USG5000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41</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电磁屏蔽机柜</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JN-C</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42</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内网模块</w:t>
                  </w:r>
                  <w:r>
                    <w:rPr>
                      <w:rFonts w:ascii="宋体" w:hAnsi="宋体" w:cs="宋体" w:eastAsia="宋体"/>
                      <w:sz w:val="24"/>
                    </w:rPr>
                    <w:t>ECC</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R4815N</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43</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网神防火墙</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网神</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44</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电池柜</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KSTAR</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45</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市电配电柜</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黑色</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46</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防火墙</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天融信</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47</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防火墙</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天融信</w:t>
                  </w:r>
                  <w:r>
                    <w:rPr>
                      <w:rFonts w:ascii="宋体" w:hAnsi="宋体" w:cs="宋体" w:eastAsia="宋体"/>
                      <w:sz w:val="24"/>
                    </w:rPr>
                    <w:t>NGFW4000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48</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UPS</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APC3000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49</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空调</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格力</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50</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UPS</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APCRT10000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51</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饮水机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美的</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52</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盘柜</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IBMV5000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53</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电脑桌</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1.2*0.6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54</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不间断电源</w:t>
                  </w:r>
                  <w:r>
                    <w:rPr>
                      <w:rFonts w:ascii="宋体" w:hAnsi="宋体" w:cs="宋体" w:eastAsia="宋体"/>
                      <w:sz w:val="24"/>
                    </w:rPr>
                    <w:t>UPS</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UPS5000-E-200K-FM</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55</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KVM切换器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ATEN</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56</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动环系统服务器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RH2288HV3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57</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服务器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IBMX3650M3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58</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新</w:t>
                  </w:r>
                  <w:r>
                    <w:rPr>
                      <w:rFonts w:ascii="宋体" w:hAnsi="宋体" w:cs="宋体" w:eastAsia="宋体"/>
                      <w:sz w:val="24"/>
                    </w:rPr>
                    <w:t>OA服务器02</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联想</w:t>
                  </w:r>
                  <w:r>
                    <w:rPr>
                      <w:rFonts w:ascii="宋体" w:hAnsi="宋体" w:cs="宋体" w:eastAsia="宋体"/>
                      <w:sz w:val="24"/>
                    </w:rPr>
                    <w:t>X3850X6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59</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内网视频服务器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VCN500-R</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60</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新</w:t>
                  </w:r>
                  <w:r>
                    <w:rPr>
                      <w:rFonts w:ascii="宋体" w:hAnsi="宋体" w:cs="宋体" w:eastAsia="宋体"/>
                      <w:sz w:val="24"/>
                    </w:rPr>
                    <w:t>OA服务器01</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联想</w:t>
                  </w:r>
                  <w:r>
                    <w:rPr>
                      <w:rFonts w:ascii="宋体" w:hAnsi="宋体" w:cs="宋体" w:eastAsia="宋体"/>
                      <w:sz w:val="24"/>
                    </w:rPr>
                    <w:t>X3850X6</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61</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旧</w:t>
                  </w:r>
                  <w:r>
                    <w:rPr>
                      <w:rFonts w:ascii="宋体" w:hAnsi="宋体" w:cs="宋体" w:eastAsia="宋体"/>
                      <w:sz w:val="24"/>
                    </w:rPr>
                    <w:t>OA服务器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IBMX3850X5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62</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Esight服务器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RH2288HV3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69"/>
                  <w:tcBorders>
                    <w:top w:val="none" w:color="000000" w:sz="4"/>
                    <w:left w:val="none" w:color="000000" w:sz="4"/>
                    <w:bottom w:val="none" w:color="000000" w:sz="4"/>
                    <w:right w:val="none" w:color="000000" w:sz="4"/>
                  </w:tcBorders>
                </w:tcPr>
                <w:p>
                  <w:pPr>
                    <w:pStyle w:val="null3"/>
                  </w:pPr>
                  <w:r>
                    <w:rPr>
                      <w:rFonts w:ascii="&quot;times new roman&quot;" w:hAnsi="&quot;times new roman&quot;" w:cs="&quot;times new roman&quot;" w:eastAsia="&quot;times new roman&quot;"/>
                      <w:sz w:val="19"/>
                    </w:rPr>
                    <w:t xml:space="preserve"> </w:t>
                  </w: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63</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Ailpha大数据智能安全平台</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安恒信息</w:t>
                  </w:r>
                  <w:r>
                    <w:rPr>
                      <w:rFonts w:ascii="宋体" w:hAnsi="宋体" w:cs="宋体" w:eastAsia="宋体"/>
                      <w:sz w:val="24"/>
                    </w:rPr>
                    <w:t>DAS-ABL-800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64</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明御</w:t>
                  </w:r>
                  <w:r>
                    <w:rPr>
                      <w:rFonts w:ascii="宋体" w:hAnsi="宋体" w:cs="宋体" w:eastAsia="宋体"/>
                      <w:sz w:val="24"/>
                    </w:rPr>
                    <w:t>APT攻击预警平台</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安恒信息</w:t>
                  </w:r>
                  <w:r>
                    <w:rPr>
                      <w:rFonts w:ascii="宋体" w:hAnsi="宋体" w:cs="宋体" w:eastAsia="宋体"/>
                      <w:sz w:val="24"/>
                    </w:rPr>
                    <w:t>DAS-APT1000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65</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AINTA流量分析系统</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安恒信息</w:t>
                  </w:r>
                  <w:r>
                    <w:rPr>
                      <w:rFonts w:ascii="宋体" w:hAnsi="宋体" w:cs="宋体" w:eastAsia="宋体"/>
                      <w:sz w:val="24"/>
                    </w:rPr>
                    <w:t>DAS-ABL-SP-600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66</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明御主机安全管理系统</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安恒信息</w:t>
                  </w:r>
                  <w:r>
                    <w:rPr>
                      <w:rFonts w:ascii="宋体" w:hAnsi="宋体" w:cs="宋体" w:eastAsia="宋体"/>
                      <w:sz w:val="24"/>
                    </w:rPr>
                    <w:t>EDR-EE-3000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67</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明御运维审计与风险控制系统</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安恒信息</w:t>
                  </w:r>
                  <w:r>
                    <w:rPr>
                      <w:rFonts w:ascii="宋体" w:hAnsi="宋体" w:cs="宋体" w:eastAsia="宋体"/>
                      <w:sz w:val="24"/>
                    </w:rPr>
                    <w:t>DAS-USM500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68</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外网病毒服务器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华为</w:t>
                  </w:r>
                  <w:r>
                    <w:rPr>
                      <w:rFonts w:ascii="宋体" w:hAnsi="宋体" w:cs="宋体" w:eastAsia="宋体"/>
                      <w:sz w:val="24"/>
                    </w:rPr>
                    <w:t>RH2288HV3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69</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服务器交换机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华为</w:t>
                  </w:r>
                  <w:r>
                    <w:rPr>
                      <w:rFonts w:ascii="宋体" w:hAnsi="宋体" w:cs="宋体" w:eastAsia="宋体"/>
                      <w:sz w:val="24"/>
                    </w:rPr>
                    <w:t>S5720-52P-LI-AC</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70</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安恒堡垒机应用发布服务器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华为</w:t>
                  </w:r>
                  <w:r>
                    <w:rPr>
                      <w:rFonts w:ascii="宋体" w:hAnsi="宋体" w:cs="宋体" w:eastAsia="宋体"/>
                      <w:sz w:val="24"/>
                    </w:rPr>
                    <w:t>RH2288HV3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71</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交换机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华为</w:t>
                  </w:r>
                  <w:r>
                    <w:rPr>
                      <w:rFonts w:ascii="宋体" w:hAnsi="宋体" w:cs="宋体" w:eastAsia="宋体"/>
                      <w:sz w:val="24"/>
                    </w:rPr>
                    <w:t>S5720-56c-EI-48S</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72</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网管服务器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戴尔</w:t>
                  </w:r>
                  <w:r>
                    <w:rPr>
                      <w:rFonts w:ascii="宋体" w:hAnsi="宋体" w:cs="宋体" w:eastAsia="宋体"/>
                      <w:sz w:val="24"/>
                    </w:rPr>
                    <w:t>PowerEdge r720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73</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移动办公系统</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联想</w:t>
                  </w:r>
                  <w:r>
                    <w:rPr>
                      <w:rFonts w:ascii="宋体" w:hAnsi="宋体" w:cs="宋体" w:eastAsia="宋体"/>
                      <w:sz w:val="24"/>
                    </w:rPr>
                    <w:t>SR590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74</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备份一体机</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爱数</w:t>
                  </w:r>
                  <w:r>
                    <w:rPr>
                      <w:rFonts w:ascii="宋体" w:hAnsi="宋体" w:cs="宋体" w:eastAsia="宋体"/>
                      <w:sz w:val="24"/>
                    </w:rPr>
                    <w:t>AB1000-20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75</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漏洞扫描</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安恒信息</w:t>
                  </w:r>
                  <w:r>
                    <w:rPr>
                      <w:rFonts w:ascii="宋体" w:hAnsi="宋体" w:cs="宋体" w:eastAsia="宋体"/>
                      <w:sz w:val="24"/>
                    </w:rPr>
                    <w:t>DAS-RAS-H1000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76</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WEB应用防火墙</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安恒信息</w:t>
                  </w:r>
                  <w:r>
                    <w:rPr>
                      <w:rFonts w:ascii="宋体" w:hAnsi="宋体" w:cs="宋体" w:eastAsia="宋体"/>
                      <w:sz w:val="24"/>
                    </w:rPr>
                    <w:t>DAS-WAF-1000AG</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77</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准入管理</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盈高</w:t>
                  </w:r>
                  <w:r>
                    <w:rPr>
                      <w:rFonts w:ascii="宋体" w:hAnsi="宋体" w:cs="宋体" w:eastAsia="宋体"/>
                      <w:sz w:val="24"/>
                    </w:rPr>
                    <w:t>ASM-6701Pro</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78</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迷网</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安恒信息</w:t>
                  </w:r>
                  <w:r>
                    <w:rPr>
                      <w:rFonts w:ascii="宋体" w:hAnsi="宋体" w:cs="宋体" w:eastAsia="宋体"/>
                      <w:sz w:val="24"/>
                    </w:rPr>
                    <w:t>DAS-HPOT-500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79</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360杀毒服务器</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360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80</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移动办公系统（备）</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超聚变</w:t>
                  </w:r>
                  <w:r>
                    <w:rPr>
                      <w:rFonts w:ascii="宋体" w:hAnsi="宋体" w:cs="宋体" w:eastAsia="宋体"/>
                      <w:sz w:val="24"/>
                    </w:rPr>
                    <w:t>2288h v5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6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4"/>
              </w:rPr>
              <w:t>二、建设目标</w:t>
            </w:r>
          </w:p>
          <w:p>
            <w:pPr>
              <w:pStyle w:val="null3"/>
              <w:ind w:firstLine="480"/>
              <w:jc w:val="both"/>
            </w:pPr>
            <w:r>
              <w:rPr>
                <w:rFonts w:ascii="宋体" w:hAnsi="宋体" w:cs="宋体" w:eastAsia="宋体"/>
                <w:sz w:val="24"/>
              </w:rPr>
              <w:t>基于当前西安市雁塔区政府的现状，需通过购买延续服务、新增安全设备、运维保障服务、设备维保等完成基础安全保障、安全能力提升和驻场安全运维，实现常规日常网络运维保障、全天候威胁感知与预防、风险事件预警复核及处置、应急事件分析溯源、自动化处置响应、全流量回溯、重大活动保障等能力建设，达到如下目标：</w:t>
            </w:r>
          </w:p>
          <w:p>
            <w:pPr>
              <w:pStyle w:val="null3"/>
              <w:ind w:firstLine="482"/>
              <w:jc w:val="both"/>
            </w:pPr>
            <w:r>
              <w:rPr>
                <w:rFonts w:ascii="宋体" w:hAnsi="宋体" w:cs="宋体" w:eastAsia="宋体"/>
                <w:sz w:val="24"/>
              </w:rPr>
              <w:t>1. 持续提升针对网络入侵的防护能力。</w:t>
            </w:r>
            <w:r>
              <w:rPr>
                <w:rFonts w:ascii="宋体" w:hAnsi="宋体" w:cs="宋体" w:eastAsia="宋体"/>
                <w:sz w:val="24"/>
              </w:rPr>
              <w:t>加强终端安全、定期进行人工及工具测评、恶意代码检测和风险评估；</w:t>
            </w:r>
          </w:p>
          <w:p>
            <w:pPr>
              <w:pStyle w:val="null3"/>
              <w:ind w:firstLine="482"/>
              <w:jc w:val="both"/>
            </w:pPr>
            <w:r>
              <w:rPr>
                <w:rFonts w:ascii="宋体" w:hAnsi="宋体" w:cs="宋体" w:eastAsia="宋体"/>
                <w:sz w:val="24"/>
              </w:rPr>
              <w:t>2. 持续做好网络安全运维保障无缝衔接。</w:t>
            </w:r>
            <w:r>
              <w:rPr>
                <w:rFonts w:ascii="宋体" w:hAnsi="宋体" w:cs="宋体" w:eastAsia="宋体"/>
                <w:sz w:val="24"/>
              </w:rPr>
              <w:t>对区政府云政务数据中心机房所有的网络和设备进行运维保障。常态化进行电子政务日常事务处理、网络及基础设施运维、网络状态监测、异常问题处理等；</w:t>
            </w:r>
          </w:p>
          <w:p>
            <w:pPr>
              <w:pStyle w:val="null3"/>
              <w:ind w:firstLine="482"/>
              <w:jc w:val="both"/>
            </w:pPr>
            <w:r>
              <w:rPr>
                <w:rFonts w:ascii="宋体" w:hAnsi="宋体" w:cs="宋体" w:eastAsia="宋体"/>
                <w:sz w:val="24"/>
              </w:rPr>
              <w:t>3. 持续构建安全可靠的网络保障体系。</w:t>
            </w:r>
            <w:r>
              <w:rPr>
                <w:rFonts w:ascii="宋体" w:hAnsi="宋体" w:cs="宋体" w:eastAsia="宋体"/>
                <w:sz w:val="24"/>
              </w:rPr>
              <w:t>通过</w:t>
            </w:r>
            <w:r>
              <w:rPr>
                <w:rFonts w:ascii="宋体" w:hAnsi="宋体" w:cs="宋体" w:eastAsia="宋体"/>
                <w:sz w:val="24"/>
              </w:rPr>
              <w:t>“人+产品+服务”方式确保现有云政务数据中心机房稳定运行，补齐流量溯源、日志采集、自动化响应处置设备，优化处置和监测时效，充分发挥设备和人员作用，实现动态、完善、立体、全面的安全防护体系；</w:t>
            </w:r>
          </w:p>
          <w:p>
            <w:pPr>
              <w:pStyle w:val="null3"/>
              <w:ind w:firstLine="482"/>
              <w:jc w:val="both"/>
            </w:pPr>
            <w:r>
              <w:rPr>
                <w:rFonts w:ascii="宋体" w:hAnsi="宋体" w:cs="宋体" w:eastAsia="宋体"/>
                <w:sz w:val="24"/>
              </w:rPr>
              <w:t>4. 持续加强物理和网络环境安全系数。</w:t>
            </w:r>
            <w:r>
              <w:rPr>
                <w:rFonts w:ascii="宋体" w:hAnsi="宋体" w:cs="宋体" w:eastAsia="宋体"/>
                <w:sz w:val="24"/>
              </w:rPr>
              <w:t>更新、更换、增加现有网络及物理环境中的不达标项，保障网络持续稳定运行。</w:t>
            </w:r>
          </w:p>
          <w:p>
            <w:pPr>
              <w:pStyle w:val="null3"/>
              <w:ind w:firstLine="480"/>
              <w:jc w:val="both"/>
            </w:pPr>
            <w:r>
              <w:rPr>
                <w:rFonts w:ascii="宋体" w:hAnsi="宋体" w:cs="宋体" w:eastAsia="宋体"/>
                <w:sz w:val="24"/>
              </w:rPr>
              <w:t>三、服务总体要求</w:t>
            </w:r>
          </w:p>
          <w:p>
            <w:pPr>
              <w:pStyle w:val="null3"/>
              <w:ind w:firstLine="480"/>
              <w:jc w:val="both"/>
            </w:pPr>
            <w:r>
              <w:rPr>
                <w:rFonts w:ascii="宋体" w:hAnsi="宋体" w:cs="宋体" w:eastAsia="宋体"/>
                <w:sz w:val="24"/>
              </w:rPr>
              <w:t>1.</w:t>
            </w:r>
            <w:r>
              <w:rPr>
                <w:rFonts w:ascii="宋体" w:hAnsi="宋体" w:cs="宋体" w:eastAsia="宋体"/>
                <w:sz w:val="24"/>
              </w:rPr>
              <w:t xml:space="preserve"> 本</w:t>
            </w:r>
            <w:r>
              <w:rPr>
                <w:rFonts w:ascii="宋体" w:hAnsi="宋体" w:cs="宋体" w:eastAsia="宋体"/>
                <w:sz w:val="24"/>
              </w:rPr>
              <w:t>项目服务期限两年，采购预算为单年预算，第一年服务内容为本项目采购需求内容，第二年服务内容依据实际需求另行约定，具体以双方的补充协议为主，补充协议所提供服务需保证饱满、充实，切实将运维保障落到实处。</w:t>
            </w:r>
          </w:p>
          <w:p>
            <w:pPr>
              <w:pStyle w:val="null3"/>
              <w:ind w:firstLine="480"/>
              <w:jc w:val="both"/>
            </w:pPr>
            <w:r>
              <w:rPr>
                <w:rFonts w:ascii="宋体" w:hAnsi="宋体" w:cs="宋体" w:eastAsia="宋体"/>
                <w:sz w:val="24"/>
              </w:rPr>
              <w:t>2. 保障雁塔区电子政务网络和数据中心网络必须满足等级保护2.0防护要求，通过安全服务进行整体的安全保障、梳理、测评、评估等，并使用标准的等保工具作为服务工具，定期检测与发现问题，与测评时各项内容保持一致。</w:t>
            </w:r>
          </w:p>
          <w:p>
            <w:pPr>
              <w:pStyle w:val="null3"/>
              <w:ind w:firstLine="480"/>
              <w:jc w:val="both"/>
            </w:pPr>
            <w:r>
              <w:rPr>
                <w:rFonts w:ascii="宋体" w:hAnsi="宋体" w:cs="宋体" w:eastAsia="宋体"/>
                <w:sz w:val="24"/>
              </w:rPr>
              <w:t>3. 在满足等级保护建设的基础上，基于业务需求，保障网络稳定运行，需要具备核心区域网络流量可回溯、可审计；实现安全风险事件与前端设备的联动和自动化处置；实现全天候网络安全持续监测、研判、预警和处置；实现全网资产漏洞的统一管理，达到全网风险可感知、可预警、可管控。</w:t>
            </w:r>
          </w:p>
          <w:p>
            <w:pPr>
              <w:pStyle w:val="null3"/>
              <w:ind w:firstLine="480"/>
              <w:jc w:val="both"/>
            </w:pPr>
            <w:r>
              <w:rPr>
                <w:rFonts w:ascii="宋体" w:hAnsi="宋体" w:cs="宋体" w:eastAsia="宋体"/>
                <w:sz w:val="24"/>
              </w:rPr>
              <w:t>4. 通过延续性服务提供安全驻场运维、基础设施保障、重大活动保障、安全评估检查、应急响应等能力，辅助通过等级保护第三级测评，加强边界安全保障，依托服务人员形成监测、预警、响应闭环机制，保障数据中心及业务的安全稳定运行。</w:t>
            </w:r>
          </w:p>
          <w:p>
            <w:pPr>
              <w:pStyle w:val="null3"/>
              <w:ind w:firstLine="480"/>
              <w:jc w:val="both"/>
            </w:pPr>
            <w:r>
              <w:rPr>
                <w:rFonts w:ascii="宋体" w:hAnsi="宋体" w:cs="宋体" w:eastAsia="宋体"/>
                <w:sz w:val="24"/>
              </w:rPr>
              <w:t>5. 本次项目需要基础网络运维驻场服务人员不少于2人、专业安全运维人员不少于1人。提供后台安全服务保障团队，负责咨询服务、评估服务、应急响应服务、重大活动保障、远程安全监测等，需根据区政府要求提供足够的安全保障人员，并具备相应的服务能力。</w:t>
            </w:r>
          </w:p>
          <w:p>
            <w:pPr>
              <w:pStyle w:val="null3"/>
              <w:ind w:firstLine="480"/>
              <w:jc w:val="both"/>
            </w:pPr>
            <w:r>
              <w:rPr>
                <w:rFonts w:ascii="宋体" w:hAnsi="宋体" w:cs="宋体" w:eastAsia="宋体"/>
                <w:sz w:val="24"/>
              </w:rPr>
              <w:t>6. 本项目新增安全设备需为国产化设备，要求原厂工程师提供相关配套服务，不限于安装调试、故障处理、巡检等等，至少提供三年质保服务。</w:t>
            </w:r>
          </w:p>
          <w:p>
            <w:pPr>
              <w:pStyle w:val="null3"/>
              <w:ind w:firstLine="480"/>
              <w:jc w:val="both"/>
            </w:pPr>
            <w:r>
              <w:rPr>
                <w:rFonts w:ascii="宋体" w:hAnsi="宋体" w:cs="宋体" w:eastAsia="宋体"/>
                <w:sz w:val="24"/>
              </w:rPr>
              <w:t>7. 要求本次项目提供的安全设备及系统质量和功能稳定、可靠，不能影响区政府正常网络及业务运行，如若造成客户处重大事故及问题，需根据造成的损失承担相应的责任。</w:t>
            </w:r>
          </w:p>
          <w:p>
            <w:pPr>
              <w:pStyle w:val="null3"/>
              <w:ind w:firstLine="480"/>
              <w:jc w:val="both"/>
            </w:pPr>
            <w:r>
              <w:rPr>
                <w:rFonts w:ascii="宋体" w:hAnsi="宋体" w:cs="宋体" w:eastAsia="宋体"/>
                <w:sz w:val="24"/>
              </w:rPr>
              <w:t>8、要求按照行业标准提供全过程的交付文档、服务文档。</w:t>
            </w:r>
          </w:p>
          <w:p>
            <w:pPr>
              <w:pStyle w:val="null3"/>
              <w:ind w:firstLine="480"/>
              <w:jc w:val="both"/>
            </w:pPr>
            <w:r>
              <w:rPr>
                <w:rFonts w:ascii="宋体" w:hAnsi="宋体" w:cs="宋体" w:eastAsia="宋体"/>
                <w:sz w:val="24"/>
              </w:rPr>
              <w:t>四、采购内容要求</w:t>
            </w:r>
          </w:p>
          <w:p>
            <w:pPr>
              <w:pStyle w:val="null3"/>
              <w:ind w:firstLine="480"/>
              <w:jc w:val="both"/>
            </w:pPr>
            <w:r>
              <w:rPr>
                <w:rFonts w:ascii="宋体" w:hAnsi="宋体" w:cs="宋体" w:eastAsia="宋体"/>
                <w:sz w:val="24"/>
              </w:rPr>
              <w:t>（一）采购内容要求</w:t>
            </w:r>
          </w:p>
          <w:tbl>
            <w:tblPr>
              <w:tblBorders>
                <w:top w:val="none" w:color="000000" w:sz="4"/>
                <w:left w:val="none" w:color="000000" w:sz="4"/>
                <w:bottom w:val="none" w:color="000000" w:sz="4"/>
                <w:right w:val="none" w:color="000000" w:sz="4"/>
                <w:insideH w:val="none"/>
                <w:insideV w:val="none"/>
              </w:tblBorders>
            </w:tblPr>
            <w:tblGrid>
              <w:gridCol w:w="492"/>
              <w:gridCol w:w="265"/>
              <w:gridCol w:w="1473"/>
              <w:gridCol w:w="312"/>
            </w:tblGrid>
            <w:tr>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分类</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采购内容</w:t>
                  </w:r>
                </w:p>
              </w:tc>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数量</w:t>
                  </w:r>
                </w:p>
              </w:tc>
            </w:tr>
            <w:tr>
              <w:tc>
                <w:tcPr>
                  <w:tcW w:type="dxa" w:w="4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延续服务</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终端合规性服务及安全审查服务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标准等保工具定期检查服务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网络安全风险评估服务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重大活动保障服务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恶意代码检测服务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咨询规划服务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应急响应服务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8</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安全驻场及运维服务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政府机房设备及网络保障服务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日常驻场网络及基础设施运维服务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11</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等保测评服务（三级）</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边界安全设备升级及现场备机服务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设备维保</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13</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堡垒机维保服务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14</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其它设备维保服务</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设备更新及新购</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15</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漏洞扫描授权扩容</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16</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镜像分流器</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1台</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17</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UPS电池更换</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1项</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18</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全流量审计设备</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1台</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19</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自动化处置响应设备</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1台</w:t>
                  </w:r>
                </w:p>
              </w:tc>
            </w:tr>
            <w:tr>
              <w:tc>
                <w:tcPr>
                  <w:tcW w:type="dxa" w:w="492"/>
                  <w:vMerge/>
                  <w:tcBorders>
                    <w:top w:val="none" w:color="000000" w:sz="4"/>
                    <w:left w:val="single" w:color="000000" w:sz="4"/>
                    <w:bottom w:val="single" w:color="000000" w:sz="4"/>
                    <w:right w:val="single" w:color="000000" w:sz="4"/>
                  </w:tcBorders>
                </w:tcP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日志审计设备</w:t>
                  </w:r>
                </w:p>
              </w:tc>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1台</w:t>
                  </w:r>
                </w:p>
              </w:tc>
            </w:tr>
          </w:tbl>
          <w:p>
            <w:pPr>
              <w:pStyle w:val="null3"/>
              <w:ind w:firstLine="480"/>
              <w:jc w:val="both"/>
            </w:pPr>
            <w:r>
              <w:rPr>
                <w:rFonts w:ascii="宋体" w:hAnsi="宋体" w:cs="宋体" w:eastAsia="宋体"/>
                <w:sz w:val="24"/>
              </w:rPr>
              <w:t>（二）设备及服务基本指标要求</w:t>
            </w:r>
          </w:p>
          <w:tbl>
            <w:tblPr>
              <w:tblBorders>
                <w:top w:val="none" w:color="000000" w:sz="4"/>
                <w:left w:val="none" w:color="000000" w:sz="4"/>
                <w:bottom w:val="none" w:color="000000" w:sz="4"/>
                <w:right w:val="none" w:color="000000" w:sz="4"/>
                <w:insideH w:val="none"/>
                <w:insideV w:val="none"/>
              </w:tblBorders>
            </w:tblPr>
            <w:tblGrid>
              <w:gridCol w:w="98"/>
              <w:gridCol w:w="231"/>
              <w:gridCol w:w="234"/>
              <w:gridCol w:w="1660"/>
              <w:gridCol w:w="110"/>
              <w:gridCol w:w="110"/>
              <w:gridCol w:w="110"/>
            </w:tblGrid>
            <w:tr>
              <w:tc>
                <w:tcPr>
                  <w:tcW w:type="dxa" w:w="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分类</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名称</w:t>
                  </w:r>
                </w:p>
              </w:tc>
              <w:tc>
                <w:tcPr>
                  <w:tcW w:type="dxa" w:w="1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基本要求</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数量</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单位</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备注</w:t>
                  </w: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终端合规性服务及安全审查服务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1.提供计算机终端审查工具和服务，要求工具支持</w:t>
                  </w:r>
                  <w:r>
                    <w:rPr>
                      <w:rFonts w:ascii="宋体" w:hAnsi="宋体" w:cs="宋体" w:eastAsia="宋体"/>
                      <w:sz w:val="24"/>
                    </w:rPr>
                    <w:t>USB使用记录：USB使用记录显示主机USB使用情况；支持浏览器上网记录，支持IE内核浏览器、谷歌浏览器、火狐浏览器等上网记录及Cookie记录。支持审查主机系统配置信息，内容包括不限于：计算机名、用户名、操作系统、内存大小、磁盘大小、系统路径、共享目录。支持审查主机硬件信息，内容包括不限于：CPU信息、主板信息、内存信息、显卡信息、硬盘信息、网卡信息。</w:t>
                  </w:r>
                </w:p>
                <w:p>
                  <w:pPr>
                    <w:pStyle w:val="null3"/>
                    <w:jc w:val="both"/>
                  </w:pPr>
                  <w:r>
                    <w:rPr>
                      <w:rFonts w:ascii="宋体" w:hAnsi="宋体" w:cs="宋体" w:eastAsia="宋体"/>
                      <w:sz w:val="24"/>
                    </w:rPr>
                    <w:t>▲2.支持审查主机所有开机自启动项程序。支持审查主机异常服务，即主机上已经启动的可能有风险的服务程序。支持审查主机密码安全策略配置，包含口令最长使用期限，长度最小值，锁定阀值等。支持审查主机所有系统账号，包含隐藏（影子）账户及活动状态。支持审查主机系统安全补丁，内容包括不限于：补丁名称，补丁发布日期，补丁描述。</w:t>
                  </w:r>
                </w:p>
                <w:p>
                  <w:pPr>
                    <w:pStyle w:val="null3"/>
                    <w:jc w:val="both"/>
                  </w:pPr>
                  <w:r>
                    <w:rPr>
                      <w:rFonts w:ascii="宋体" w:hAnsi="宋体" w:cs="宋体" w:eastAsia="宋体"/>
                      <w:sz w:val="24"/>
                    </w:rPr>
                    <w:t>3.支持审查系统的活动端口，内容包含不限于当前开放的</w:t>
                  </w:r>
                  <w:r>
                    <w:rPr>
                      <w:rFonts w:ascii="宋体" w:hAnsi="宋体" w:cs="宋体" w:eastAsia="宋体"/>
                      <w:sz w:val="24"/>
                    </w:rPr>
                    <w:t>TCP/UDP端口、连接状态、进程相对路径。支持审查系统的用户权限，显示用户、访问权限与操作系统安全相关的状态。支持审查系统运行保护，显示系统当前防护措施。支持xml、html等格式的输出报表。</w:t>
                  </w:r>
                </w:p>
                <w:p>
                  <w:pPr>
                    <w:pStyle w:val="null3"/>
                    <w:jc w:val="both"/>
                  </w:pPr>
                  <w:r>
                    <w:rPr>
                      <w:rFonts w:ascii="宋体" w:hAnsi="宋体" w:cs="宋体" w:eastAsia="宋体"/>
                      <w:sz w:val="24"/>
                    </w:rPr>
                    <w:t>4.协助用户安装全网</w:t>
                  </w:r>
                  <w:r>
                    <w:rPr>
                      <w:rFonts w:ascii="宋体" w:hAnsi="宋体" w:cs="宋体" w:eastAsia="宋体"/>
                      <w:sz w:val="24"/>
                    </w:rPr>
                    <w:t>PC终端的准入客户端以及杀毒软件客户端。</w:t>
                  </w:r>
                </w:p>
                <w:p>
                  <w:pPr>
                    <w:pStyle w:val="null3"/>
                    <w:jc w:val="both"/>
                  </w:pPr>
                  <w:r>
                    <w:rPr>
                      <w:rFonts w:ascii="宋体" w:hAnsi="宋体" w:cs="宋体" w:eastAsia="宋体"/>
                      <w:sz w:val="24"/>
                    </w:rPr>
                    <w:t>5.服务期内提供</w:t>
                  </w:r>
                  <w:r>
                    <w:rPr>
                      <w:rFonts w:ascii="宋体" w:hAnsi="宋体" w:cs="宋体" w:eastAsia="宋体"/>
                      <w:sz w:val="24"/>
                    </w:rPr>
                    <w:t>2次终端合规性服务及安全审查服务，每半年实施1次。</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标准工具定期检查服务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1.提供标准工具检测服务，本次提供的标准工具配置至少</w:t>
                  </w:r>
                  <w:r>
                    <w:rPr>
                      <w:rFonts w:ascii="宋体" w:hAnsi="宋体" w:cs="宋体" w:eastAsia="宋体"/>
                      <w:sz w:val="24"/>
                    </w:rPr>
                    <w:t>5个离线检查工具（包括Windows主机配置检查工具、Windows病毒木马检查工具、Linux病毒木马检查工具、Windows恶意代码检查工具、Linux恶意代码检查工具）和至少6个在线检查工具（Linux主机配置检查工具、网络及安全设备配置检查工具、弱口令检查工具、数据库安全检查工具、网站安全检查工具、系统漏洞检查工具），提供佐证材料和截图证明。</w:t>
                  </w:r>
                </w:p>
                <w:p>
                  <w:pPr>
                    <w:pStyle w:val="null3"/>
                    <w:jc w:val="both"/>
                  </w:pPr>
                  <w:r>
                    <w:rPr>
                      <w:rFonts w:ascii="宋体" w:hAnsi="宋体" w:cs="宋体" w:eastAsia="宋体"/>
                      <w:sz w:val="24"/>
                    </w:rPr>
                    <w:t>2.通过</w:t>
                  </w:r>
                  <w:r>
                    <w:rPr>
                      <w:rFonts w:ascii="宋体" w:hAnsi="宋体" w:cs="宋体" w:eastAsia="宋体"/>
                      <w:sz w:val="24"/>
                    </w:rPr>
                    <w:t>“网络安全等级保护检查知识库”、管理要求访谈内容，与《GBT22239-2019网络安全技术网络安全等级保护基本要求》完美结合，将等级保护基本要求落地，使信息系统运营和使用单位从技术和管理角度明确了自身系统与等级保护相关等级要求的具体差异，为策略优化和应用安全提供依据。</w:t>
                  </w:r>
                </w:p>
                <w:p>
                  <w:pPr>
                    <w:pStyle w:val="null3"/>
                    <w:jc w:val="both"/>
                  </w:pPr>
                  <w:r>
                    <w:rPr>
                      <w:rFonts w:ascii="宋体" w:hAnsi="宋体" w:cs="宋体" w:eastAsia="宋体"/>
                      <w:sz w:val="24"/>
                    </w:rPr>
                    <w:t>3.针对全网资产提供至少</w:t>
                  </w:r>
                  <w:r>
                    <w:rPr>
                      <w:rFonts w:ascii="宋体" w:hAnsi="宋体" w:cs="宋体" w:eastAsia="宋体"/>
                      <w:sz w:val="24"/>
                    </w:rPr>
                    <w:t>2次标准工具定期检查服务，每半年实施1次。</w:t>
                  </w:r>
                </w:p>
                <w:p>
                  <w:pPr>
                    <w:pStyle w:val="null3"/>
                    <w:jc w:val="both"/>
                  </w:pPr>
                  <w:r>
                    <w:rPr>
                      <w:rFonts w:ascii="宋体" w:hAnsi="宋体" w:cs="宋体" w:eastAsia="宋体"/>
                      <w:sz w:val="24"/>
                    </w:rPr>
                    <w:t>4.针对托管及自有业务提供安全评估服务，并出具相应报告，每年提供</w:t>
                  </w:r>
                  <w:r>
                    <w:rPr>
                      <w:rFonts w:ascii="宋体" w:hAnsi="宋体" w:cs="宋体" w:eastAsia="宋体"/>
                      <w:sz w:val="24"/>
                    </w:rPr>
                    <w:t>12次。</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网络安全风险评估服务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1.梳理全网的资产清单，分类整理，并拍照记录，整理成资产台账。</w:t>
                  </w:r>
                </w:p>
                <w:p>
                  <w:pPr>
                    <w:pStyle w:val="null3"/>
                    <w:jc w:val="both"/>
                  </w:pPr>
                  <w:r>
                    <w:rPr>
                      <w:rFonts w:ascii="宋体" w:hAnsi="宋体" w:cs="宋体" w:eastAsia="宋体"/>
                      <w:sz w:val="24"/>
                    </w:rPr>
                    <w:t>2.每年提供至少</w:t>
                  </w:r>
                  <w:r>
                    <w:rPr>
                      <w:rFonts w:ascii="宋体" w:hAnsi="宋体" w:cs="宋体" w:eastAsia="宋体"/>
                      <w:sz w:val="24"/>
                    </w:rPr>
                    <w:t>1次全网的风险评估服务，风险评估服务内容包括但不限于：资产梳理、基线检查、漏洞扫描（主机、数据库、WEB应用）、渗透测试、安全加固，根据评估报告进行网络及策略优化。</w:t>
                  </w:r>
                </w:p>
                <w:p>
                  <w:pPr>
                    <w:pStyle w:val="null3"/>
                    <w:jc w:val="both"/>
                  </w:pPr>
                  <w:r>
                    <w:rPr>
                      <w:rFonts w:ascii="宋体" w:hAnsi="宋体" w:cs="宋体" w:eastAsia="宋体"/>
                      <w:sz w:val="24"/>
                    </w:rPr>
                    <w:t>3.对政务平台的威胁分析、脆弱性分析、现有控制措施有效性分析、风险分析确定面临的风险及提出有针对性的处置建议。</w:t>
                  </w:r>
                </w:p>
                <w:p>
                  <w:pPr>
                    <w:pStyle w:val="null3"/>
                    <w:jc w:val="both"/>
                  </w:pPr>
                  <w:r>
                    <w:rPr>
                      <w:rFonts w:ascii="宋体" w:hAnsi="宋体" w:cs="宋体" w:eastAsia="宋体"/>
                      <w:sz w:val="24"/>
                    </w:rPr>
                    <w:t>4.完成工具评估、人工评估、顾问访谈、文档勘察、信息资产调研、网络架构评估等内容完成技术层面和管理层面的风险评估。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重大活动保障服务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1.在重大活动期间提供的应急支撑，含应急方案、制度、重保服务以及安全人员</w:t>
                  </w:r>
                  <w:r>
                    <w:rPr>
                      <w:rFonts w:ascii="宋体" w:hAnsi="宋体" w:cs="宋体" w:eastAsia="宋体"/>
                      <w:sz w:val="24"/>
                    </w:rPr>
                    <w:t>7*24小时驻守。每年不少于40天。</w:t>
                  </w:r>
                </w:p>
                <w:p>
                  <w:pPr>
                    <w:pStyle w:val="null3"/>
                    <w:jc w:val="both"/>
                  </w:pPr>
                  <w:r>
                    <w:rPr>
                      <w:rFonts w:ascii="宋体" w:hAnsi="宋体" w:cs="宋体" w:eastAsia="宋体"/>
                      <w:sz w:val="24"/>
                    </w:rPr>
                    <w:t>2.重大活动前期：保障重大活动筹备工作（含网络和信息系统规划建设）的正常开展。</w:t>
                  </w:r>
                </w:p>
                <w:p>
                  <w:pPr>
                    <w:pStyle w:val="null3"/>
                    <w:jc w:val="both"/>
                  </w:pPr>
                  <w:r>
                    <w:rPr>
                      <w:rFonts w:ascii="宋体" w:hAnsi="宋体" w:cs="宋体" w:eastAsia="宋体"/>
                      <w:sz w:val="24"/>
                    </w:rPr>
                    <w:t>3.重大活动期间：避免由于网络和信息系统的安全风险，造成活动组织者、活动参与者、媒体等相关方无法正常参与活动，避免由此可能产生的不良影响及其社会化蔓延。</w:t>
                  </w:r>
                </w:p>
                <w:p>
                  <w:pPr>
                    <w:pStyle w:val="null3"/>
                    <w:jc w:val="both"/>
                  </w:pPr>
                  <w:r>
                    <w:rPr>
                      <w:rFonts w:ascii="宋体" w:hAnsi="宋体" w:cs="宋体" w:eastAsia="宋体"/>
                      <w:sz w:val="24"/>
                    </w:rPr>
                    <w:t>4.提供重保服务支撑。</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恶意代码检测服务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1.每年提供至少</w:t>
                  </w:r>
                  <w:r>
                    <w:rPr>
                      <w:rFonts w:ascii="宋体" w:hAnsi="宋体" w:cs="宋体" w:eastAsia="宋体"/>
                      <w:sz w:val="24"/>
                    </w:rPr>
                    <w:t>4次恶意代码检测服务，检测操作系统和应用中是否存在恶意样本，若存在，则需分析样本的访问行为，评估对系统的影响，提供安全分析报告和清除方法。</w:t>
                  </w:r>
                </w:p>
                <w:p>
                  <w:pPr>
                    <w:pStyle w:val="null3"/>
                    <w:jc w:val="both"/>
                  </w:pPr>
                  <w:r>
                    <w:rPr>
                      <w:rFonts w:ascii="宋体" w:hAnsi="宋体" w:cs="宋体" w:eastAsia="宋体"/>
                      <w:sz w:val="24"/>
                    </w:rPr>
                    <w:t>2.服务工具支持各类</w:t>
                  </w:r>
                  <w:r>
                    <w:rPr>
                      <w:rFonts w:ascii="宋体" w:hAnsi="宋体" w:cs="宋体" w:eastAsia="宋体"/>
                      <w:sz w:val="24"/>
                    </w:rPr>
                    <w:t>WEB编程语言的应用的深度网页后门漏洞扫描；支持实时结果的展现；支持生成统计报表；</w:t>
                  </w:r>
                </w:p>
                <w:p>
                  <w:pPr>
                    <w:pStyle w:val="null3"/>
                    <w:jc w:val="both"/>
                  </w:pPr>
                  <w:r>
                    <w:rPr>
                      <w:rFonts w:ascii="宋体" w:hAnsi="宋体" w:cs="宋体" w:eastAsia="宋体"/>
                      <w:sz w:val="24"/>
                    </w:rPr>
                    <w:t>3.服务工具支持</w:t>
                  </w:r>
                  <w:r>
                    <w:rPr>
                      <w:rFonts w:ascii="宋体" w:hAnsi="宋体" w:cs="宋体" w:eastAsia="宋体"/>
                      <w:sz w:val="24"/>
                    </w:rPr>
                    <w:t>Asp、Jsp、.Net、J2EE、php、Perl等所有的WEB应用编程语言；具有快速扫描功能：</w:t>
                  </w:r>
                </w:p>
                <w:p>
                  <w:pPr>
                    <w:pStyle w:val="null3"/>
                    <w:jc w:val="both"/>
                  </w:pPr>
                  <w:r>
                    <w:rPr>
                      <w:rFonts w:ascii="宋体" w:hAnsi="宋体" w:cs="宋体" w:eastAsia="宋体"/>
                      <w:sz w:val="24"/>
                    </w:rPr>
                    <w:t>4.服务工具支持根据文件类型自动选择内置扫描策略进行扫描，例如当进行扫描</w:t>
                  </w:r>
                  <w:r>
                    <w:rPr>
                      <w:rFonts w:ascii="宋体" w:hAnsi="宋体" w:cs="宋体" w:eastAsia="宋体"/>
                      <w:sz w:val="24"/>
                    </w:rPr>
                    <w:t>index.ASP文件时程序会自动选择ASP对应的策略进行扫描而忽略其他的扫描策略；</w:t>
                  </w:r>
                </w:p>
                <w:p>
                  <w:pPr>
                    <w:pStyle w:val="null3"/>
                    <w:jc w:val="both"/>
                  </w:pPr>
                  <w:r>
                    <w:rPr>
                      <w:rFonts w:ascii="宋体" w:hAnsi="宋体" w:cs="宋体" w:eastAsia="宋体"/>
                      <w:sz w:val="24"/>
                    </w:rPr>
                    <w:t>5.服务工具具有全盘扫描功能，支持扫描所有内置的策略以及自定义策略；</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6</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咨询规划服务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1.安排服务人员协助客户梳理网内资产所有，整理成资产台账，提出资产管理服务方案。</w:t>
                  </w:r>
                </w:p>
                <w:p>
                  <w:pPr>
                    <w:pStyle w:val="null3"/>
                    <w:jc w:val="both"/>
                  </w:pPr>
                  <w:r>
                    <w:rPr>
                      <w:rFonts w:ascii="宋体" w:hAnsi="宋体" w:cs="宋体" w:eastAsia="宋体"/>
                      <w:sz w:val="24"/>
                    </w:rPr>
                    <w:t>2.根据区政府需求，就日常工作中遇到的实际问题进行分析和探讨，结合安全发展趋势从安全技术和安全策略等方面，提供不限次数的专业的安全意见及咨询建议。</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7</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应急响应服务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1.针对服务期间内出现的重大安全事件提供应急响应保障服务。</w:t>
                  </w:r>
                </w:p>
                <w:p>
                  <w:pPr>
                    <w:pStyle w:val="null3"/>
                    <w:jc w:val="both"/>
                  </w:pPr>
                  <w:r>
                    <w:rPr>
                      <w:rFonts w:ascii="宋体" w:hAnsi="宋体" w:cs="宋体" w:eastAsia="宋体"/>
                      <w:sz w:val="24"/>
                    </w:rPr>
                    <w:t>2.接到告警信息立即组织专家远程确定故障级别；如果是紧急故障需派遣应急响应专家到达现场解决问题；</w:t>
                  </w:r>
                </w:p>
                <w:p>
                  <w:pPr>
                    <w:pStyle w:val="null3"/>
                    <w:jc w:val="both"/>
                  </w:pPr>
                  <w:r>
                    <w:rPr>
                      <w:rFonts w:ascii="宋体" w:hAnsi="宋体" w:cs="宋体" w:eastAsia="宋体"/>
                      <w:sz w:val="24"/>
                    </w:rPr>
                    <w:t>3.现场了解详细的安全事件情况、并采集现网安全数据信息，完成分析溯源，并控制事件的继续发生；</w:t>
                  </w:r>
                </w:p>
                <w:p>
                  <w:pPr>
                    <w:pStyle w:val="null3"/>
                    <w:jc w:val="both"/>
                  </w:pPr>
                  <w:r>
                    <w:rPr>
                      <w:rFonts w:ascii="宋体" w:hAnsi="宋体" w:cs="宋体" w:eastAsia="宋体"/>
                      <w:sz w:val="24"/>
                    </w:rPr>
                    <w:t>4.如需特殊的安全防护产品解决问题，将给客户建议相应防护产品；搜集攻击者入侵的原始信息，为公安机关的介入提供技术依据；</w:t>
                  </w:r>
                </w:p>
                <w:p>
                  <w:pPr>
                    <w:pStyle w:val="null3"/>
                    <w:jc w:val="both"/>
                  </w:pPr>
                  <w:r>
                    <w:rPr>
                      <w:rFonts w:ascii="宋体" w:hAnsi="宋体" w:cs="宋体" w:eastAsia="宋体"/>
                      <w:sz w:val="24"/>
                    </w:rPr>
                    <w:t>5.故障解决后着重关注现场网络及业务系统的运行情况直至应急响应结束；输出应急响应服务报告。提供一年服务期限内应急响应服务。</w:t>
                  </w:r>
                </w:p>
                <w:p>
                  <w:pPr>
                    <w:pStyle w:val="null3"/>
                    <w:jc w:val="both"/>
                  </w:pPr>
                  <w:r>
                    <w:rPr>
                      <w:rFonts w:ascii="宋体" w:hAnsi="宋体" w:cs="宋体" w:eastAsia="宋体"/>
                      <w:sz w:val="24"/>
                    </w:rPr>
                    <w:t>6.每年提供至少</w:t>
                  </w:r>
                  <w:r>
                    <w:rPr>
                      <w:rFonts w:ascii="宋体" w:hAnsi="宋体" w:cs="宋体" w:eastAsia="宋体"/>
                      <w:sz w:val="24"/>
                    </w:rPr>
                    <w:t>1次应急演练服务。</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8</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安全驻场及运维服务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1.提供</w:t>
                  </w:r>
                  <w:r>
                    <w:rPr>
                      <w:rFonts w:ascii="宋体" w:hAnsi="宋体" w:cs="宋体" w:eastAsia="宋体"/>
                      <w:sz w:val="24"/>
                    </w:rPr>
                    <w:t>1人的现场网络安全驻场服务，实现5*8小时的现场值守，特殊时期需要7*24小时现场应急值守。驻场人员利用安全管理平台和现网安全设备实时监测现网安全情况，并把梳理的资产输入到平台进行展现和处置流转，通过平台和二线人工服务团队及时进行分析、研判和处置。</w:t>
                  </w:r>
                </w:p>
                <w:p>
                  <w:pPr>
                    <w:pStyle w:val="null3"/>
                    <w:jc w:val="both"/>
                  </w:pPr>
                  <w:r>
                    <w:rPr>
                      <w:rFonts w:ascii="宋体" w:hAnsi="宋体" w:cs="宋体" w:eastAsia="宋体"/>
                      <w:sz w:val="24"/>
                    </w:rPr>
                    <w:t>2.除驻场之外，需安排项目经理定期抽查、巡检核心设备不限于网络安全设备、容灾备份和主机应用，对设备策略进行策略优化，一年不少</w:t>
                  </w:r>
                  <w:r>
                    <w:rPr>
                      <w:rFonts w:ascii="宋体" w:hAnsi="宋体" w:cs="宋体" w:eastAsia="宋体"/>
                      <w:sz w:val="24"/>
                    </w:rPr>
                    <w:t>4次。</w:t>
                  </w:r>
                </w:p>
                <w:p>
                  <w:pPr>
                    <w:pStyle w:val="null3"/>
                    <w:jc w:val="both"/>
                  </w:pPr>
                  <w:r>
                    <w:rPr>
                      <w:rFonts w:ascii="宋体" w:hAnsi="宋体" w:cs="宋体" w:eastAsia="宋体"/>
                      <w:sz w:val="24"/>
                    </w:rPr>
                    <w:t>3.提供全年</w:t>
                  </w:r>
                  <w:r>
                    <w:rPr>
                      <w:rFonts w:ascii="宋体" w:hAnsi="宋体" w:cs="宋体" w:eastAsia="宋体"/>
                      <w:sz w:val="24"/>
                    </w:rPr>
                    <w:t>7*24小时远程安全托管运营服务，提供现网指定资产梳理、暴露面检测、实时安全监测研判、安全预警及复测闭环、安全事件处置及辅助响应等服务，按规定频率提供服务相关报告。</w:t>
                  </w:r>
                </w:p>
                <w:p>
                  <w:pPr>
                    <w:pStyle w:val="null3"/>
                    <w:jc w:val="both"/>
                  </w:pPr>
                  <w:r>
                    <w:rPr>
                      <w:rFonts w:ascii="宋体" w:hAnsi="宋体" w:cs="宋体" w:eastAsia="宋体"/>
                      <w:sz w:val="24"/>
                    </w:rPr>
                    <w:t>▲4.梳理全网的资产，所使用的资产梳理工具应支持资产探测任务速率、端口范围和周期配置，包括自定义监控周期及检测时间规则配置，满足区政府在夜间或节假日扫描的需求；端口范围支持通过常用场景模板快速选择端口范围，模板包括应用、数据库等常用场景，方便快速选择。</w:t>
                  </w:r>
                </w:p>
                <w:p>
                  <w:pPr>
                    <w:pStyle w:val="null3"/>
                    <w:jc w:val="both"/>
                  </w:pPr>
                  <w:r>
                    <w:rPr>
                      <w:rFonts w:ascii="宋体" w:hAnsi="宋体" w:cs="宋体" w:eastAsia="宋体"/>
                      <w:sz w:val="24"/>
                    </w:rPr>
                    <w:t>5.服务应配套提供服务平台工具，具备完整的闭环处置跟踪流程，包含发现、研判、预警、闭环全流程</w:t>
                  </w:r>
                  <w:r>
                    <w:rPr>
                      <w:rFonts w:ascii="宋体" w:hAnsi="宋体" w:cs="宋体" w:eastAsia="宋体"/>
                      <w:sz w:val="24"/>
                    </w:rPr>
                    <w:t>.</w:t>
                  </w:r>
                </w:p>
                <w:p>
                  <w:pPr>
                    <w:pStyle w:val="null3"/>
                    <w:jc w:val="both"/>
                  </w:pPr>
                  <w:r>
                    <w:rPr>
                      <w:rFonts w:ascii="宋体" w:hAnsi="宋体" w:cs="宋体" w:eastAsia="宋体"/>
                      <w:sz w:val="24"/>
                    </w:rPr>
                    <w:t>▲6.服务所提供的暴露面检测能力可基于IP、IP段、域名、DNS、端口等信息查询关联互联网资产信息，支持基于特定语法搜索，可搜索维度至少包含关键字信息、站点备案信息、IP归属地、漏洞、归属单位、指定地理区域、指定返回状态码业务资产等，并查看搜索结果页面快照。支持搜集指定高危漏洞的分布区域、漏洞影响数量趋势、漏洞影响区域/端口排名。</w:t>
                  </w:r>
                </w:p>
                <w:p>
                  <w:pPr>
                    <w:pStyle w:val="null3"/>
                    <w:jc w:val="both"/>
                  </w:pPr>
                  <w:r>
                    <w:rPr>
                      <w:rFonts w:ascii="宋体" w:hAnsi="宋体" w:cs="宋体" w:eastAsia="宋体"/>
                      <w:sz w:val="24"/>
                    </w:rPr>
                    <w:t>7.根据现场和远程不间断监测和分析的结果，现场处理安全风险问题。负责安全、网络、机房环境等核心设备的定期巡检和维护、完成日常应急突发事件的处置工作。</w:t>
                  </w:r>
                </w:p>
                <w:p>
                  <w:pPr>
                    <w:pStyle w:val="null3"/>
                    <w:jc w:val="both"/>
                  </w:pPr>
                  <w:r>
                    <w:rPr>
                      <w:rFonts w:ascii="宋体" w:hAnsi="宋体" w:cs="宋体" w:eastAsia="宋体"/>
                      <w:sz w:val="24"/>
                    </w:rPr>
                    <w:t>8.每月至少提供一次数据中心设备的巡检服务并提供巡检报告；由安全分析专家收集核心设备、系统和安全设备的信息，完成当月安全风险分析报告；完成重大活动、会议、假期期间保障驻场等工作。</w:t>
                  </w:r>
                </w:p>
                <w:p>
                  <w:pPr>
                    <w:pStyle w:val="null3"/>
                    <w:jc w:val="both"/>
                  </w:pPr>
                  <w:r>
                    <w:rPr>
                      <w:rFonts w:ascii="宋体" w:hAnsi="宋体" w:cs="宋体" w:eastAsia="宋体"/>
                      <w:sz w:val="24"/>
                    </w:rPr>
                    <w:t>9.要求提供一线驻场人员和二线本地支撑团队，为安全运维提供支撑。</w:t>
                  </w:r>
                </w:p>
                <w:p>
                  <w:pPr>
                    <w:pStyle w:val="null3"/>
                    <w:jc w:val="both"/>
                  </w:pPr>
                  <w:r>
                    <w:rPr>
                      <w:rFonts w:ascii="宋体" w:hAnsi="宋体" w:cs="宋体" w:eastAsia="宋体"/>
                      <w:sz w:val="24"/>
                    </w:rPr>
                    <w:t>10.完成客户交代的其他相关事宜。</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政府机房设备及网络保障服务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1.包含机房基础环境设备（电力、空调、</w:t>
                  </w:r>
                  <w:r>
                    <w:rPr>
                      <w:rFonts w:ascii="宋体" w:hAnsi="宋体" w:cs="宋体" w:eastAsia="宋体"/>
                      <w:sz w:val="24"/>
                    </w:rPr>
                    <w:t>UPS、消防设备、监控、门禁等）、网络及相关设备的维修、更换和保障（单价低于2万元由驻场运维公司承担费用；高于2万元甲乙双方协商解决。）。提供政务网络运行及机房运行设备所需的备品备件、辅材。对网络中核心设备进行巡检和保障，保障机房的正常运行。</w:t>
                  </w:r>
                </w:p>
                <w:p>
                  <w:pPr>
                    <w:pStyle w:val="null3"/>
                    <w:jc w:val="both"/>
                  </w:pPr>
                  <w:r>
                    <w:rPr>
                      <w:rFonts w:ascii="宋体" w:hAnsi="宋体" w:cs="宋体" w:eastAsia="宋体"/>
                      <w:sz w:val="24"/>
                    </w:rPr>
                    <w:t>2.重大时期的基础保障和驻场。负责区政府所管的所有机房的运维、巡检和保障，不限于主机房、分机房、南院机房及新增机房。对现有和即将接管的区政府南院（健康路）的</w:t>
                  </w:r>
                  <w:r>
                    <w:rPr>
                      <w:rFonts w:ascii="宋体" w:hAnsi="宋体" w:cs="宋体" w:eastAsia="宋体"/>
                      <w:sz w:val="24"/>
                    </w:rPr>
                    <w:t>10个分支机房安装监控摄像头、像素不小于400万，并接入硬盘录像机进行统一管理，实现实时查看和录像存储，录像保留时间不少于一个月。对现有和即将接管的区政府南院（健康路）的11个机房安装温湿度、烟感探测等设备，对机房的物理环境进行安全监测。包含相关设备的集成、布线和安装调试。</w:t>
                  </w:r>
                </w:p>
                <w:p>
                  <w:pPr>
                    <w:pStyle w:val="null3"/>
                    <w:jc w:val="both"/>
                  </w:pPr>
                  <w:r>
                    <w:rPr>
                      <w:rFonts w:ascii="宋体" w:hAnsi="宋体" w:cs="宋体" w:eastAsia="宋体"/>
                      <w:sz w:val="24"/>
                    </w:rPr>
                    <w:t>3.配合采购单位完善机房环境，满足市、区两级对区县机房和网络安全的考核要求，根据文件要求，完成每年市、区两级对区县机房和网络安全的考评，协助处理考核相关工作，确保考核位于全市前列。</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10</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日常驻场网络及基础设施运维服务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1.包含至少</w:t>
                  </w:r>
                  <w:r>
                    <w:rPr>
                      <w:rFonts w:ascii="宋体" w:hAnsi="宋体" w:cs="宋体" w:eastAsia="宋体"/>
                      <w:sz w:val="24"/>
                    </w:rPr>
                    <w:t>2个人的常规驻场，用于电子政务事务的处理、日常的网络、终端、基础设施运维和值守。</w:t>
                  </w:r>
                </w:p>
                <w:p>
                  <w:pPr>
                    <w:pStyle w:val="null3"/>
                    <w:jc w:val="both"/>
                  </w:pPr>
                  <w:r>
                    <w:rPr>
                      <w:rFonts w:ascii="宋体" w:hAnsi="宋体" w:cs="宋体" w:eastAsia="宋体"/>
                      <w:sz w:val="24"/>
                    </w:rPr>
                    <w:t>2.负责南院和北院的所有终端、交换机、网络、打印机等设备的维修和故障处理。</w:t>
                  </w:r>
                </w:p>
                <w:p>
                  <w:pPr>
                    <w:pStyle w:val="null3"/>
                    <w:jc w:val="both"/>
                  </w:pPr>
                  <w:r>
                    <w:rPr>
                      <w:rFonts w:ascii="宋体" w:hAnsi="宋体" w:cs="宋体" w:eastAsia="宋体"/>
                      <w:sz w:val="24"/>
                    </w:rPr>
                    <w:t>3.接受用户的考核和各项制度，并提供日报、周报和季度报表。</w:t>
                  </w:r>
                </w:p>
                <w:p>
                  <w:pPr>
                    <w:pStyle w:val="null3"/>
                    <w:jc w:val="both"/>
                  </w:pPr>
                  <w:r>
                    <w:rPr>
                      <w:rFonts w:ascii="宋体" w:hAnsi="宋体" w:cs="宋体" w:eastAsia="宋体"/>
                      <w:sz w:val="24"/>
                    </w:rPr>
                    <w:t>4.配合进行电子政务办公室日常工作的处理、文档整理、迎检及其他相关工作落实。</w:t>
                  </w:r>
                </w:p>
                <w:p>
                  <w:pPr>
                    <w:pStyle w:val="null3"/>
                    <w:jc w:val="both"/>
                  </w:pPr>
                  <w:r>
                    <w:rPr>
                      <w:rFonts w:ascii="宋体" w:hAnsi="宋体" w:cs="宋体" w:eastAsia="宋体"/>
                      <w:sz w:val="24"/>
                    </w:rPr>
                    <w:t>5.负责终端控制软件的安装调试和维护。</w:t>
                  </w:r>
                </w:p>
                <w:p>
                  <w:pPr>
                    <w:pStyle w:val="null3"/>
                    <w:jc w:val="both"/>
                  </w:pPr>
                  <w:r>
                    <w:rPr>
                      <w:rFonts w:ascii="宋体" w:hAnsi="宋体" w:cs="宋体" w:eastAsia="宋体"/>
                      <w:sz w:val="24"/>
                    </w:rPr>
                    <w:t>6.完成客户交办的其他事宜。</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11</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等保测评服务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按照等级保护</w:t>
                  </w:r>
                  <w:r>
                    <w:rPr>
                      <w:rFonts w:ascii="宋体" w:hAnsi="宋体" w:cs="宋体" w:eastAsia="宋体"/>
                      <w:sz w:val="24"/>
                    </w:rPr>
                    <w:t>2.0标准要求，协助采购单位完成网络平台的定级，协助雁塔区电子政务网络平台通过等级保护测评，完成备案工作，并出具测评报告。</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延续</w:t>
                  </w:r>
                </w:p>
                <w:p>
                  <w:pPr>
                    <w:pStyle w:val="null3"/>
                    <w:jc w:val="both"/>
                  </w:pPr>
                  <w:r>
                    <w:rPr>
                      <w:rFonts w:ascii="宋体" w:hAnsi="宋体" w:cs="宋体" w:eastAsia="宋体"/>
                      <w:sz w:val="24"/>
                    </w:rPr>
                    <w:t>服务</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边界安全设备升级及备机服务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1.提供</w:t>
                  </w:r>
                  <w:r>
                    <w:rPr>
                      <w:rFonts w:ascii="宋体" w:hAnsi="宋体" w:cs="宋体" w:eastAsia="宋体"/>
                      <w:sz w:val="24"/>
                    </w:rPr>
                    <w:t>USG-FW-14600-T、USG-12600GP设备的全库升级服务；</w:t>
                  </w:r>
                </w:p>
                <w:p>
                  <w:pPr>
                    <w:pStyle w:val="null3"/>
                    <w:jc w:val="both"/>
                  </w:pPr>
                  <w:r>
                    <w:rPr>
                      <w:rFonts w:ascii="宋体" w:hAnsi="宋体" w:cs="宋体" w:eastAsia="宋体"/>
                      <w:sz w:val="24"/>
                    </w:rPr>
                    <w:t>2.提供日常运维和巡检；</w:t>
                  </w:r>
                </w:p>
                <w:p>
                  <w:pPr>
                    <w:pStyle w:val="null3"/>
                    <w:jc w:val="both"/>
                  </w:pPr>
                  <w:r>
                    <w:rPr>
                      <w:rFonts w:ascii="宋体" w:hAnsi="宋体" w:cs="宋体" w:eastAsia="宋体"/>
                      <w:sz w:val="24"/>
                    </w:rPr>
                    <w:t>3.提供边界防火墙备机服务，在用户现场机房提供不少于</w:t>
                  </w:r>
                  <w:r>
                    <w:rPr>
                      <w:rFonts w:ascii="宋体" w:hAnsi="宋体" w:cs="宋体" w:eastAsia="宋体"/>
                      <w:sz w:val="24"/>
                    </w:rPr>
                    <w:t>1台万兆硬件防火墙设备（≥4个千兆接口，≥4个万兆接口，吞吐量≥20Gbps），且开通入侵防御、防病毒、威胁情报等全功能模块及特征库升级授权，在故障时直接替换故障设备。</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13</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w:t>
                  </w:r>
                </w:p>
                <w:p>
                  <w:pPr>
                    <w:pStyle w:val="null3"/>
                    <w:jc w:val="both"/>
                  </w:pPr>
                  <w:r>
                    <w:rPr>
                      <w:rFonts w:ascii="宋体" w:hAnsi="宋体" w:cs="宋体" w:eastAsia="宋体"/>
                      <w:sz w:val="24"/>
                    </w:rPr>
                    <w:t>维保</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堡垒机维保服务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针对现网堡垒机</w:t>
                  </w:r>
                  <w:r>
                    <w:rPr>
                      <w:rFonts w:ascii="宋体" w:hAnsi="宋体" w:cs="宋体" w:eastAsia="宋体"/>
                      <w:sz w:val="24"/>
                    </w:rPr>
                    <w:t>DAS-USM500，提供3年原厂软硬件维保续购服务，提供原厂工程师巡检和策略优化服务。</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14</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w:t>
                  </w:r>
                </w:p>
                <w:p>
                  <w:pPr>
                    <w:pStyle w:val="null3"/>
                    <w:jc w:val="both"/>
                  </w:pPr>
                  <w:r>
                    <w:rPr>
                      <w:rFonts w:ascii="宋体" w:hAnsi="宋体" w:cs="宋体" w:eastAsia="宋体"/>
                      <w:sz w:val="24"/>
                    </w:rPr>
                    <w:t>维保</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其它设备维保服务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针对现网</w:t>
                  </w:r>
                  <w:r>
                    <w:rPr>
                      <w:rFonts w:ascii="宋体" w:hAnsi="宋体" w:cs="宋体" w:eastAsia="宋体"/>
                      <w:sz w:val="24"/>
                    </w:rPr>
                    <w:t>APT攻击预警平台（DAS-APT1000）1套、流量探针（DAS-ABL-SP-600）1套、大数据安全智能管理平台1套（DAS-ABL-800）、EDR系统（EDR-EE-3000）1套，提供1年期原厂维保续购服务。服务期内提供原厂工程师对设备的巡检、策略优化和故障排查服务，备机服务，数据迁移服务。</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15</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设备更新及新购</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漏洞扫描扩容</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针对现网漏洞扫描</w:t>
                  </w:r>
                  <w:r>
                    <w:rPr>
                      <w:rFonts w:ascii="宋体" w:hAnsi="宋体" w:cs="宋体" w:eastAsia="宋体"/>
                      <w:sz w:val="24"/>
                    </w:rPr>
                    <w:t>DAS-RAS-H1000，将漏洞扫描授权扩容至无限制授权（不限制扫描IP及站点），提供设备巡检、漏扫操作及报告解读服务。</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16</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设备更新及新购</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镜像分流器</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双电源，千兆电口</w:t>
                  </w:r>
                  <w:r>
                    <w:rPr>
                      <w:rFonts w:ascii="宋体" w:hAnsi="宋体" w:cs="宋体" w:eastAsia="宋体"/>
                      <w:sz w:val="24"/>
                    </w:rPr>
                    <w:t>≥8个，包含2个Bypass接口，具备多种镜像模式，可一键切换。要求满足现网镜像流量分流性能需求，并提供一台备机。</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17</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设备更新及新购</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UPS电池更换</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对</w:t>
                  </w:r>
                  <w:r>
                    <w:rPr>
                      <w:rFonts w:ascii="宋体" w:hAnsi="宋体" w:cs="宋体" w:eastAsia="宋体"/>
                      <w:sz w:val="24"/>
                    </w:rPr>
                    <w:t>124块原有6-FM-100 12V100AH UPS电池完成全部更换，新电池质保三年，包含配送及安装，质保期内出现问题需上门维修及更换。</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18</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设备更新及新购</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全流量采集设备</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1.标准机架式设备，双电源，要求提供国产化的</w:t>
                  </w:r>
                  <w:r>
                    <w:rPr>
                      <w:rFonts w:ascii="宋体" w:hAnsi="宋体" w:cs="宋体" w:eastAsia="宋体"/>
                      <w:sz w:val="24"/>
                    </w:rPr>
                    <w:t>CPU及国产操作系统，内存≥32G，硬盘空间≥8T，千兆电口≥6个，千兆光口≥4个（含多模模块），实网全流量保存和回溯能力≥2G流量，可保存实时全流量数据≥7天、实时会话数据≥180天，支持网络流量实时采集、全流量数据压缩存储、网络流量回溯等，3年质保服务。</w:t>
                  </w:r>
                </w:p>
                <w:p>
                  <w:pPr>
                    <w:pStyle w:val="null3"/>
                    <w:jc w:val="both"/>
                  </w:pPr>
                  <w:r>
                    <w:rPr>
                      <w:rFonts w:ascii="宋体" w:hAnsi="宋体" w:cs="宋体" w:eastAsia="宋体"/>
                      <w:sz w:val="24"/>
                    </w:rPr>
                    <w:t>2.支持全流量解析和存储回放能力，对加密流量的识别和解密后分析，实现对网络流量的全面捕获和分析；能对流量中传输的文件进行识别和还原，包括常见的文件格式类型。</w:t>
                  </w:r>
                </w:p>
                <w:p>
                  <w:pPr>
                    <w:pStyle w:val="null3"/>
                    <w:jc w:val="both"/>
                  </w:pPr>
                  <w:r>
                    <w:rPr>
                      <w:rFonts w:ascii="宋体" w:hAnsi="宋体" w:cs="宋体" w:eastAsia="宋体"/>
                      <w:sz w:val="24"/>
                    </w:rPr>
                    <w:t>3.能够对历史数据流量、实时流量的分析，基于指定条件进行图形化呈现，直观展示数据包的构成比例。</w:t>
                  </w:r>
                </w:p>
                <w:p>
                  <w:pPr>
                    <w:pStyle w:val="null3"/>
                    <w:jc w:val="both"/>
                  </w:pPr>
                  <w:r>
                    <w:rPr>
                      <w:rFonts w:ascii="宋体" w:hAnsi="宋体" w:cs="宋体" w:eastAsia="宋体"/>
                      <w:sz w:val="24"/>
                    </w:rPr>
                    <w:t>▲4.可深度分析现网的网络协议、网络应用、带宽使用率、流量占比、流速情况、会话情况，支持对网络数据包字节分布、传输时延、重传包、同步包数、同步确认包数、重置包数、广播流量、组播流量等数据指标进行分析。</w:t>
                  </w:r>
                </w:p>
                <w:p>
                  <w:pPr>
                    <w:pStyle w:val="null3"/>
                    <w:jc w:val="both"/>
                  </w:pPr>
                  <w:r>
                    <w:rPr>
                      <w:rFonts w:ascii="宋体" w:hAnsi="宋体" w:cs="宋体" w:eastAsia="宋体"/>
                      <w:sz w:val="24"/>
                    </w:rPr>
                    <w:t>▲5.支持对网络质量和故障进行分析，可覆盖应用层、传输层、网络层、数据链路层等层面的常见问题，附带错误描述、问题原因、解决方案等。</w:t>
                  </w:r>
                </w:p>
                <w:p>
                  <w:pPr>
                    <w:pStyle w:val="null3"/>
                    <w:jc w:val="both"/>
                  </w:pPr>
                  <w:r>
                    <w:rPr>
                      <w:rFonts w:ascii="宋体" w:hAnsi="宋体" w:cs="宋体" w:eastAsia="宋体"/>
                      <w:sz w:val="24"/>
                    </w:rPr>
                    <w:t>▲6.支持基于IP地址、物理地址、网络应用、会话、端口、境外外联访问等多种维度进行网络访问的全包回溯和分析，包括对网络访问的源地址、目的地址、端口、上下行流量、总流量、上下行数据包数、包长度、三次握手时间、连接失败次数、连接失败率、连接建立时间、响应时延、丢包数、TCP同步包、重复确认包、重置包等参数进行全方位查看和分析。</w:t>
                  </w:r>
                </w:p>
                <w:p>
                  <w:pPr>
                    <w:pStyle w:val="null3"/>
                    <w:jc w:val="both"/>
                  </w:pPr>
                  <w:r>
                    <w:rPr>
                      <w:rFonts w:ascii="宋体" w:hAnsi="宋体" w:cs="宋体" w:eastAsia="宋体"/>
                      <w:sz w:val="24"/>
                    </w:rPr>
                    <w:t>7.支持对</w:t>
                  </w:r>
                  <w:r>
                    <w:rPr>
                      <w:rFonts w:ascii="宋体" w:hAnsi="宋体" w:cs="宋体" w:eastAsia="宋体"/>
                      <w:sz w:val="24"/>
                    </w:rPr>
                    <w:t>DNS、HTTP、HTTPS、FTP、Telnet、邮件、数据库、SSH等协议行为进行审计和记录，关联至原始报文进行回溯分析。</w:t>
                  </w:r>
                </w:p>
                <w:p>
                  <w:pPr>
                    <w:pStyle w:val="null3"/>
                    <w:jc w:val="both"/>
                  </w:pPr>
                  <w:r>
                    <w:rPr>
                      <w:rFonts w:ascii="宋体" w:hAnsi="宋体" w:cs="宋体" w:eastAsia="宋体"/>
                      <w:sz w:val="24"/>
                    </w:rPr>
                    <w:t>8.提供原厂工程师调试安装、现场培训服务、不限次应急溯源服务。</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19</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设备更新及新购</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自动化处置响应设备</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1.标准机架式设备，双电源，要求提供国产化的</w:t>
                  </w:r>
                  <w:r>
                    <w:rPr>
                      <w:rFonts w:ascii="宋体" w:hAnsi="宋体" w:cs="宋体" w:eastAsia="宋体"/>
                      <w:sz w:val="24"/>
                    </w:rPr>
                    <w:t>CPU及国产操作系统，内存≥64G，硬盘空间≥12T，千兆电口≥4个，提供3年质保服务。</w:t>
                  </w:r>
                </w:p>
                <w:p>
                  <w:pPr>
                    <w:pStyle w:val="null3"/>
                    <w:jc w:val="both"/>
                  </w:pPr>
                  <w:r>
                    <w:rPr>
                      <w:rFonts w:ascii="宋体" w:hAnsi="宋体" w:cs="宋体" w:eastAsia="宋体"/>
                      <w:sz w:val="24"/>
                    </w:rPr>
                    <w:t>2.支持工作台模板，可展示设备概况、待办事项、联动情况等。</w:t>
                  </w:r>
                </w:p>
                <w:p>
                  <w:pPr>
                    <w:pStyle w:val="null3"/>
                    <w:jc w:val="both"/>
                  </w:pPr>
                  <w:r>
                    <w:rPr>
                      <w:rFonts w:ascii="宋体" w:hAnsi="宋体" w:cs="宋体" w:eastAsia="宋体"/>
                      <w:sz w:val="24"/>
                    </w:rPr>
                    <w:t>3.支持异构安全能力接入，支持</w:t>
                  </w:r>
                  <w:r>
                    <w:rPr>
                      <w:rFonts w:ascii="宋体" w:hAnsi="宋体" w:cs="宋体" w:eastAsia="宋体"/>
                      <w:sz w:val="24"/>
                    </w:rPr>
                    <w:t>100+种不同厂家、不同型号的常见安全设备联动，支持在线商城可直接在线安装或下载安装包进行安装，实现快速联动。支持对接入的联动设备进行可用性监测，展示设备健康状态。</w:t>
                  </w:r>
                </w:p>
                <w:p>
                  <w:pPr>
                    <w:pStyle w:val="null3"/>
                    <w:jc w:val="both"/>
                  </w:pPr>
                  <w:r>
                    <w:rPr>
                      <w:rFonts w:ascii="宋体" w:hAnsi="宋体" w:cs="宋体" w:eastAsia="宋体"/>
                      <w:sz w:val="24"/>
                    </w:rPr>
                    <w:t>4.对现网需联动的所有设备提供定制联动，兼容不同厂商、不同版本的安全产品，并确保能够进行联动响应，安全设备的联动方式至少包括</w:t>
                  </w:r>
                  <w:r>
                    <w:rPr>
                      <w:rFonts w:ascii="宋体" w:hAnsi="宋体" w:cs="宋体" w:eastAsia="宋体"/>
                      <w:sz w:val="24"/>
                    </w:rPr>
                    <w:t>HTTP/HTTPS、SSH、JDBC、LDAP、SMTP等方式。</w:t>
                  </w:r>
                </w:p>
                <w:p>
                  <w:pPr>
                    <w:pStyle w:val="null3"/>
                    <w:jc w:val="both"/>
                  </w:pPr>
                  <w:r>
                    <w:rPr>
                      <w:rFonts w:ascii="宋体" w:hAnsi="宋体" w:cs="宋体" w:eastAsia="宋体"/>
                      <w:sz w:val="24"/>
                    </w:rPr>
                    <w:t>5.支持剧本编排，内置常见场景剧本，灵活实现不同场景的编排需求，支持一键下发封禁、解封命令，支持封禁或解封的对象类型包括</w:t>
                  </w:r>
                  <w:r>
                    <w:rPr>
                      <w:rFonts w:ascii="宋体" w:hAnsi="宋体" w:cs="宋体" w:eastAsia="宋体"/>
                      <w:sz w:val="24"/>
                    </w:rPr>
                    <w:t>IP、域名、网段。</w:t>
                  </w:r>
                </w:p>
                <w:p>
                  <w:pPr>
                    <w:pStyle w:val="null3"/>
                    <w:jc w:val="both"/>
                  </w:pPr>
                  <w:r>
                    <w:rPr>
                      <w:rFonts w:ascii="宋体" w:hAnsi="宋体" w:cs="宋体" w:eastAsia="宋体"/>
                      <w:sz w:val="24"/>
                    </w:rPr>
                    <w:t>▲6.剧本支持配置超时时间，超时即视为节点执行失败，同时具备高可用机制，当某个节点执行失败，不影响后续执行。</w:t>
                  </w:r>
                </w:p>
                <w:p>
                  <w:pPr>
                    <w:pStyle w:val="null3"/>
                    <w:jc w:val="both"/>
                  </w:pPr>
                  <w:r>
                    <w:rPr>
                      <w:rFonts w:ascii="宋体" w:hAnsi="宋体" w:cs="宋体" w:eastAsia="宋体"/>
                      <w:sz w:val="24"/>
                    </w:rPr>
                    <w:t>▲7.支持多方人员在线协同处置，不同角色用户可查看共同处置的历史信息、在线交流，完成协同事件处置、剧本下发、剧本动作等操作。</w:t>
                  </w:r>
                </w:p>
                <w:p>
                  <w:pPr>
                    <w:pStyle w:val="null3"/>
                    <w:jc w:val="both"/>
                  </w:pPr>
                  <w:r>
                    <w:rPr>
                      <w:rFonts w:ascii="宋体" w:hAnsi="宋体" w:cs="宋体" w:eastAsia="宋体"/>
                      <w:sz w:val="24"/>
                    </w:rPr>
                    <w:t>8.支持</w:t>
                  </w:r>
                  <w:r>
                    <w:rPr>
                      <w:rFonts w:ascii="宋体" w:hAnsi="宋体" w:cs="宋体" w:eastAsia="宋体"/>
                      <w:sz w:val="24"/>
                    </w:rPr>
                    <w:t>5个自动化联动处置剧本设计。</w:t>
                  </w:r>
                </w:p>
                <w:p>
                  <w:pPr>
                    <w:pStyle w:val="null3"/>
                    <w:jc w:val="both"/>
                  </w:pPr>
                  <w:r>
                    <w:rPr>
                      <w:rFonts w:ascii="宋体" w:hAnsi="宋体" w:cs="宋体" w:eastAsia="宋体"/>
                      <w:sz w:val="24"/>
                    </w:rPr>
                    <w:t>9.提供原厂工程师调试安装、现场培训服务、应急服务。</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20</w:t>
                  </w:r>
                </w:p>
              </w:tc>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设备更新及新购</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日志审计</w:t>
                  </w:r>
                </w:p>
              </w:tc>
              <w:tc>
                <w:tcPr>
                  <w:tcW w:type="dxa" w:w="1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1.标准机架式设备，双电源，要求提供国产化的</w:t>
                  </w:r>
                  <w:r>
                    <w:rPr>
                      <w:rFonts w:ascii="宋体" w:hAnsi="宋体" w:cs="宋体" w:eastAsia="宋体"/>
                      <w:sz w:val="24"/>
                    </w:rPr>
                    <w:t>CPU及国产操作系统，内存≥64G，硬盘空间≥24T，千兆电口≥4个，万兆光口≥2个（含多模模块），授权接入资产数≥1000个，数据平均采集处理能力≥25000EPS，数据峰值采集能力≥40000EPS，提供3年质保服务。</w:t>
                  </w:r>
                </w:p>
                <w:p>
                  <w:pPr>
                    <w:pStyle w:val="null3"/>
                    <w:jc w:val="both"/>
                  </w:pPr>
                  <w:r>
                    <w:rPr>
                      <w:rFonts w:ascii="宋体" w:hAnsi="宋体" w:cs="宋体" w:eastAsia="宋体"/>
                      <w:sz w:val="24"/>
                    </w:rPr>
                    <w:t>2.支持采集当前主流的网络安全设备、交换设备、路由设备、操作系统、应用系统等日志，支持日志接收速率限制。</w:t>
                  </w:r>
                </w:p>
                <w:p>
                  <w:pPr>
                    <w:pStyle w:val="null3"/>
                    <w:jc w:val="both"/>
                  </w:pPr>
                  <w:r>
                    <w:rPr>
                      <w:rFonts w:ascii="宋体" w:hAnsi="宋体" w:cs="宋体" w:eastAsia="宋体"/>
                      <w:sz w:val="24"/>
                    </w:rPr>
                    <w:t>▲3.支持通过代理客户端的方式提取服务器、应用、数据库等日志，代理客户端可在线下载，且能够通过系统进行统一的管理和策略下发。支持通过代理客户端监测服务器CPU、内存、磁盘使用情况、流量等信息。</w:t>
                  </w:r>
                </w:p>
                <w:p>
                  <w:pPr>
                    <w:pStyle w:val="null3"/>
                    <w:jc w:val="both"/>
                  </w:pPr>
                  <w:r>
                    <w:rPr>
                      <w:rFonts w:ascii="宋体" w:hAnsi="宋体" w:cs="宋体" w:eastAsia="宋体"/>
                      <w:sz w:val="24"/>
                    </w:rPr>
                    <w:t>4.通过自定义配置过滤不关注的日志，并对收集到的重复日志进行自动聚合归并，归并规则可自定义设置。</w:t>
                  </w:r>
                </w:p>
                <w:p>
                  <w:pPr>
                    <w:pStyle w:val="null3"/>
                    <w:jc w:val="both"/>
                  </w:pPr>
                  <w:r>
                    <w:rPr>
                      <w:rFonts w:ascii="宋体" w:hAnsi="宋体" w:cs="宋体" w:eastAsia="宋体"/>
                      <w:sz w:val="24"/>
                    </w:rPr>
                    <w:t>▲5.支持图形化界面进行自定义日志解析配置，可辅助自动生成解析的正则表达式。支持对所有解析规则进行列表显示，可直观了解解析耗时、解析成功或失败等信息。</w:t>
                  </w:r>
                </w:p>
                <w:p>
                  <w:pPr>
                    <w:pStyle w:val="null3"/>
                    <w:jc w:val="both"/>
                  </w:pPr>
                  <w:r>
                    <w:rPr>
                      <w:rFonts w:ascii="宋体" w:hAnsi="宋体" w:cs="宋体" w:eastAsia="宋体"/>
                      <w:sz w:val="24"/>
                    </w:rPr>
                    <w:t>6.支持日志关联分析，内置多种安全分析场景，至少包括漏洞利用、权限提升、命令执行等。</w:t>
                  </w:r>
                </w:p>
                <w:p>
                  <w:pPr>
                    <w:pStyle w:val="null3"/>
                    <w:jc w:val="both"/>
                  </w:pPr>
                  <w:r>
                    <w:rPr>
                      <w:rFonts w:ascii="宋体" w:hAnsi="宋体" w:cs="宋体" w:eastAsia="宋体"/>
                      <w:sz w:val="24"/>
                    </w:rPr>
                    <w:t>7.提供原厂工程师调试安装、现场培训服务、应急服务。</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4"/>
              </w:rPr>
              <w:t>五、其他</w:t>
            </w:r>
          </w:p>
          <w:p>
            <w:pPr>
              <w:pStyle w:val="null3"/>
              <w:ind w:firstLine="482"/>
              <w:jc w:val="both"/>
            </w:pPr>
            <w:r>
              <w:rPr>
                <w:rFonts w:ascii="宋体" w:hAnsi="宋体" w:cs="宋体" w:eastAsia="宋体"/>
                <w:b/>
                <w:sz w:val="24"/>
              </w:rPr>
              <w:t>1.保密责任：</w:t>
            </w:r>
            <w:r>
              <w:rPr>
                <w:rFonts w:ascii="宋体" w:hAnsi="宋体" w:cs="宋体" w:eastAsia="宋体"/>
                <w:sz w:val="24"/>
              </w:rPr>
              <w:t>除非得到另一方的书面许可，甲乙双方均不得将合同中的内容及在合同执行过程中获得的对方商业信息向任何第三方泄露。</w:t>
            </w:r>
          </w:p>
          <w:p>
            <w:pPr>
              <w:pStyle w:val="null3"/>
              <w:ind w:firstLine="482"/>
              <w:jc w:val="both"/>
            </w:pPr>
            <w:r>
              <w:rPr>
                <w:rFonts w:ascii="宋体" w:hAnsi="宋体" w:cs="宋体" w:eastAsia="宋体"/>
                <w:b/>
                <w:sz w:val="24"/>
              </w:rPr>
              <w:t>2</w:t>
            </w:r>
            <w:r>
              <w:rPr>
                <w:rFonts w:ascii="宋体" w:hAnsi="宋体" w:cs="宋体" w:eastAsia="宋体"/>
                <w:b/>
                <w:sz w:val="24"/>
              </w:rPr>
              <w:t>.争议解决：</w:t>
            </w:r>
            <w:r>
              <w:rPr>
                <w:rFonts w:ascii="宋体" w:hAnsi="宋体" w:cs="宋体" w:eastAsia="宋体"/>
                <w:sz w:val="24"/>
              </w:rPr>
              <w:t>合同在执行过程中，若发生纠纷，由双方友好协商解决，若不能通过友好协商解决，任何一方可向我方所在地有管辖权的人民法院起诉。</w:t>
            </w:r>
          </w:p>
          <w:p>
            <w:pPr>
              <w:pStyle w:val="null3"/>
              <w:jc w:val="both"/>
            </w:pPr>
          </w:p>
        </w:tc>
      </w:tr>
    </w:tbl>
    <w:p>
      <w:pPr>
        <w:pStyle w:val="null3"/>
        <w:outlineLvl w:val="2"/>
      </w:pPr>
      <w:r>
        <w:rPr>
          <w:b/>
          <w:sz w:val="28"/>
        </w:rPr>
        <w:t>3.2.3人员配置要求</w:t>
      </w:r>
    </w:p>
    <w:p>
      <w:pPr>
        <w:pStyle w:val="null3"/>
      </w:pPr>
      <w:r>
        <w:rPr/>
        <w:t>采购包1：</w:t>
      </w:r>
    </w:p>
    <w:p>
      <w:pPr>
        <w:pStyle w:val="null3"/>
      </w:pPr>
      <w:r>
        <w:rPr/>
        <w:t>达到服务要求所必须的人员</w:t>
      </w:r>
    </w:p>
    <w:p>
      <w:pPr>
        <w:pStyle w:val="null3"/>
        <w:outlineLvl w:val="2"/>
      </w:pPr>
      <w:r>
        <w:rPr>
          <w:b/>
          <w:sz w:val="28"/>
        </w:rPr>
        <w:t>3.2.4设施设备要求</w:t>
      </w:r>
    </w:p>
    <w:p>
      <w:pPr>
        <w:pStyle w:val="null3"/>
      </w:pPr>
      <w:r>
        <w:rPr/>
        <w:t>采购包1：</w:t>
      </w:r>
    </w:p>
    <w:p>
      <w:pPr>
        <w:pStyle w:val="null3"/>
      </w:pPr>
      <w:r>
        <w:rPr/>
        <w:t>达到服务要求所必须的设备</w:t>
      </w:r>
    </w:p>
    <w:p>
      <w:pPr>
        <w:pStyle w:val="null3"/>
        <w:outlineLvl w:val="2"/>
      </w:pPr>
      <w:r>
        <w:rPr>
          <w:b/>
          <w:sz w:val="28"/>
        </w:rPr>
        <w:t>3.2.5其他要求</w:t>
      </w:r>
    </w:p>
    <w:p>
      <w:pPr>
        <w:pStyle w:val="null3"/>
      </w:pPr>
      <w:r>
        <w:rPr/>
        <w:t>采购包1：</w:t>
      </w:r>
    </w:p>
    <w:p>
      <w:pPr>
        <w:pStyle w:val="null3"/>
      </w:pPr>
      <w:r>
        <w:rPr/>
        <w:t>成交供应商应保证采购人在使用所涉技术方案或其任何一部分技术资料时，免受第三 方提出侵犯其专利权、商标权或工业设计权等知识产权的起诉。如果发生诉讼，所有费用和责任由成交供应商承担。</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自合同签订之日起730个日历日内</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国家相应的标准和规范</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在合同签订后，收到中标供应商开出的发票后</w:t>
      </w:r>
      <w:r>
        <w:rPr/>
        <w:t xml:space="preserve"> ，达到付款条件起 </w:t>
      </w:r>
      <w:r>
        <w:rPr/>
        <w:t>20</w:t>
      </w:r>
      <w:r>
        <w:rPr/>
        <w:t xml:space="preserve"> 日内，支付合同总金额的 </w:t>
      </w:r>
      <w:r>
        <w:rPr/>
        <w:t>70.00</w:t>
      </w:r>
      <w:r>
        <w:rPr/>
        <w:t>%。</w:t>
      </w:r>
    </w:p>
    <w:p>
      <w:pPr>
        <w:pStyle w:val="null3"/>
      </w:pPr>
      <w:r>
        <w:rPr/>
        <w:t>采购包1：</w:t>
      </w:r>
      <w:r>
        <w:rPr/>
        <w:t xml:space="preserve"> 付款条件说明： </w:t>
      </w:r>
      <w:r>
        <w:rPr/>
        <w:t>项目实施完毕等级保护测评通过后</w:t>
      </w:r>
      <w:r>
        <w:rPr/>
        <w:t xml:space="preserve"> ，达到付款条件起 </w:t>
      </w:r>
      <w:r>
        <w:rPr/>
        <w:t>20</w:t>
      </w:r>
      <w:r>
        <w:rPr/>
        <w:t xml:space="preserve"> 日内，支付合同总金额的 </w:t>
      </w:r>
      <w:r>
        <w:rPr/>
        <w:t>25.00</w:t>
      </w:r>
      <w:r>
        <w:rPr/>
        <w:t>%。</w:t>
      </w:r>
    </w:p>
    <w:p>
      <w:pPr>
        <w:pStyle w:val="null3"/>
      </w:pPr>
      <w:r>
        <w:rPr/>
        <w:t>采购包1：</w:t>
      </w:r>
      <w:r>
        <w:rPr/>
        <w:t xml:space="preserve"> 付款条件说明： </w:t>
      </w:r>
      <w:r>
        <w:rPr/>
        <w:t>最终验收合格后</w:t>
      </w:r>
      <w:r>
        <w:rPr/>
        <w:t xml:space="preserve"> ，达到付款条件起 </w:t>
      </w:r>
      <w:r>
        <w:rPr/>
        <w:t>20</w:t>
      </w:r>
      <w:r>
        <w:rPr/>
        <w:t xml:space="preserve"> 日内，支付合同总金额的 </w:t>
      </w:r>
      <w:r>
        <w:rPr/>
        <w:t>5.00</w:t>
      </w:r>
      <w:r>
        <w:rPr/>
        <w:t>%。</w:t>
      </w:r>
    </w:p>
    <w:p>
      <w:pPr>
        <w:pStyle w:val="null3"/>
        <w:outlineLvl w:val="3"/>
      </w:pPr>
      <w:r>
        <w:rPr>
          <w:b/>
          <w:sz w:val="24"/>
        </w:rPr>
        <w:t>3.3.6违约责任及解决争议的方法</w:t>
      </w:r>
    </w:p>
    <w:p>
      <w:pPr>
        <w:pStyle w:val="null3"/>
      </w:pPr>
      <w:r>
        <w:rPr/>
        <w:t>采购包1：</w:t>
      </w:r>
    </w:p>
    <w:p>
      <w:pPr>
        <w:pStyle w:val="null3"/>
      </w:pPr>
      <w:r>
        <w:rPr/>
        <w:t>双方在履行合同过程中，若发生争议，可以协商解决。如协商未果，双方向甲方所在地人民法院提起诉讼。乙方如果没有按照本合同约定履行合同，甲方有权终止合同。</w:t>
      </w:r>
    </w:p>
    <w:p>
      <w:pPr>
        <w:pStyle w:val="null3"/>
        <w:outlineLvl w:val="2"/>
      </w:pPr>
      <w:r>
        <w:rPr>
          <w:b/>
          <w:sz w:val="28"/>
        </w:rPr>
        <w:t>3.4其他要求</w:t>
      </w:r>
    </w:p>
    <w:p>
      <w:pPr>
        <w:pStyle w:val="null3"/>
      </w:pPr>
      <w:r>
        <w:rPr/>
        <w:t>成交供应商应保证采购人在使用所涉技术方案或其任何一部分技术资料时，免受第三 方提出侵犯其专利权、商标权或工业设计权等知识产权的起诉。如果发生诉讼，所有费用和责任由成交供应商承担。</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1、具有独立承担民事责任的能力（提供统一社会信用代码的营业执照（或事业法人证）等证明文件，投标单位为自然人的提供身份证）； 2、具有良好的商业信誉和健全的财务会计制度（2022或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3、具有履行合同所必需的设备和专业技术能力的说明及承诺； 4、具有依法缴纳税收和社会保障资金的良好记录（提供截止至投标文件递交时间前12个月内任一月份的缴费凭据或提供相关主管部门出具的缴纳证明）。依法免缴的申请人须提供相应文件证明其依法免缴； 5、参加政府采购活动前3年内在经营活动中没有重大违法记录的书面声明。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t>供应商为本项目提供的资格证明文件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2022或2023年度经第三方审计的财务报告（成立时间至提交投标文件截止时间不足一年的可提供成立后任意时段的资产负债表）；或其投标文件递交截止时间前十二个月内基本存款账户开户银行出具的资信证明及开户银行许可证（或开户行出具的基本户证明材料）；或信用担保机构出具的投标担保函（复印件或扫描件加盖申请人公章）。（以上三种形式提供任何一种即可）） 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负责人参加的，须提供本人身份证复印件加盖公章并出示身份证原件；法定代表人/负责人授权他人参加的，须提供法定代表人/负责人委托授权书原件加盖公章，并出示被授权代表的身份证原件及复印件加盖公章；</w:t>
            </w:r>
          </w:p>
        </w:tc>
        <w:tc>
          <w:tcPr>
            <w:tcW w:type="dxa" w:w="3322"/>
          </w:tcPr>
          <w:p>
            <w:pPr>
              <w:pStyle w:val="null3"/>
            </w:pPr>
            <w:r>
              <w:rPr/>
              <w:t>法定代表人/负责人参加的，须提供本人身份证复印件加盖公章并出示身份证原件；法定代表人/负责人授权他人参加的，须提供法定代表人/负责人委托授权书原件加盖公章，并出示被授权代表的身份证原件及复印件加盖公章；供应商需在项目电子化交易系统中按要求上传相应证明文件并进行电子签章。</w:t>
            </w:r>
          </w:p>
        </w:tc>
        <w:tc>
          <w:tcPr>
            <w:tcW w:type="dxa" w:w="1661"/>
          </w:tcPr>
          <w:p>
            <w:pPr>
              <w:pStyle w:val="null3"/>
            </w:pPr>
            <w:r>
              <w:rPr/>
              <w:t>法定代表人、负责人身份证明 法定代表人授权委托书</w:t>
            </w:r>
          </w:p>
        </w:tc>
      </w:tr>
      <w:tr>
        <w:tc>
          <w:tcPr>
            <w:tcW w:type="dxa" w:w="831"/>
          </w:tcPr>
          <w:p>
            <w:pPr>
              <w:pStyle w:val="null3"/>
            </w:pPr>
            <w:r>
              <w:rPr/>
              <w:t>2</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非联合体投标声明</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服务期</w:t>
            </w:r>
          </w:p>
        </w:tc>
        <w:tc>
          <w:tcPr>
            <w:tcW w:type="dxa" w:w="3322"/>
          </w:tcPr>
          <w:p>
            <w:pPr>
              <w:pStyle w:val="null3"/>
            </w:pPr>
            <w:r>
              <w:rPr/>
              <w:t>服务期符合磋商文件要求；</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报价表 磋商报价表 响应函</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付款方式符合磋商文件要求；</w:t>
            </w:r>
          </w:p>
        </w:tc>
        <w:tc>
          <w:tcPr>
            <w:tcW w:type="dxa" w:w="1661"/>
          </w:tcPr>
          <w:p>
            <w:pPr>
              <w:pStyle w:val="null3"/>
            </w:pPr>
            <w:r>
              <w:rPr/>
              <w:t>商务偏离表 磋商报价表 响应函</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响应文件有效期符合磋商文件要求；</w:t>
            </w:r>
          </w:p>
        </w:tc>
        <w:tc>
          <w:tcPr>
            <w:tcW w:type="dxa" w:w="1661"/>
          </w:tcPr>
          <w:p>
            <w:pPr>
              <w:pStyle w:val="null3"/>
            </w:pPr>
            <w:r>
              <w:rPr/>
              <w:t>商务偏离表 磋商报价表 响应函</w:t>
            </w:r>
          </w:p>
        </w:tc>
      </w:tr>
      <w:tr>
        <w:tc>
          <w:tcPr>
            <w:tcW w:type="dxa" w:w="831"/>
          </w:tcPr>
          <w:p>
            <w:pPr>
              <w:pStyle w:val="null3"/>
            </w:pPr>
            <w:r>
              <w:rPr/>
              <w:t>5</w:t>
            </w:r>
          </w:p>
        </w:tc>
        <w:tc>
          <w:tcPr>
            <w:tcW w:type="dxa" w:w="2492"/>
          </w:tcPr>
          <w:p>
            <w:pPr>
              <w:pStyle w:val="null3"/>
            </w:pPr>
            <w:r>
              <w:rPr/>
              <w:t>响应文件的签字盖章</w:t>
            </w:r>
          </w:p>
        </w:tc>
        <w:tc>
          <w:tcPr>
            <w:tcW w:type="dxa" w:w="3322"/>
          </w:tcPr>
          <w:p>
            <w:pPr>
              <w:pStyle w:val="null3"/>
            </w:pPr>
            <w:r>
              <w:rPr/>
              <w:t>响应文件的签字盖章符合磋商文件要求；</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磋商文件其他要求</w:t>
            </w:r>
          </w:p>
        </w:tc>
        <w:tc>
          <w:tcPr>
            <w:tcW w:type="dxa" w:w="3322"/>
          </w:tcPr>
          <w:p>
            <w:pPr>
              <w:pStyle w:val="null3"/>
            </w:pPr>
            <w:r>
              <w:rPr/>
              <w:t>经过对供应商及响应文件的资格性、符合性审查，出现下列情况者（但不限于），按无效处理。 1供应商没有经过正常渠道获取磋商文件或供应商的名称与获取磋商文件单位的名称不符； 2响应文件没有法定代表人授权书（法定代表人直接磋商除外）或授权书的合法性或有效性不符合磋商文件规定； 3供应商资质的有效性或符合性不符合要求的； 4响应文件未按磋商文件规定有效签字和盖章的； 5磋商有效期不足的； 6报价超出采购预算及最高限价的； 7规定不接受选择方案和选择报价（包括交叉折扣）的，供应商提供了选择方案和/或选择报价（包括交叉折扣）； 8提供虚假证明，开具虚假资质，出现虚假应答，除按无效标处理外，还进行相应的处罚； 9供应商有违法违规行为的； 10响应文件中服务内容出现漏项或与要求不符，出现重大负偏差。</w:t>
            </w:r>
          </w:p>
        </w:tc>
        <w:tc>
          <w:tcPr>
            <w:tcW w:type="dxa" w:w="1661"/>
          </w:tcPr>
          <w:p>
            <w:pPr>
              <w:pStyle w:val="null3"/>
            </w:pPr>
            <w:r>
              <w:rPr/>
              <w:t>响应文件封面 法定代表人、负责人身份证明 法定代表人授权委托书 磋商报价表 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采购的产品及服务的技术参数与功能选型原则为适当超前，主流、成熟且稳定。带“▲”号项为关键技术指标，需提供详细的佐证材料（佐证材料包括但不限于官网截图、功能截图、检测报告等），每负偏离一项扣除1分；其他未带标识项为一般功能项，每负偏离一项扣除0.5分，扣完为止。 注：各投标商应严格按照磋商文件采购内容进行应答，并按采购内容及要求提供详细的佐证材料。</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服务方案</w:t>
            </w:r>
          </w:p>
          <w:p>
            <w:pPr>
              <w:pStyle w:val="null3"/>
            </w:pPr>
            <w:r>
              <w:rPr/>
              <w:t>规格、技术参数偏离表</w:t>
            </w:r>
          </w:p>
        </w:tc>
      </w:tr>
      <w:tr>
        <w:tc>
          <w:tcPr>
            <w:tcW w:type="dxa" w:w="831"/>
            <w:vMerge/>
          </w:tcPr>
          <w:p/>
        </w:tc>
        <w:tc>
          <w:tcPr>
            <w:tcW w:type="dxa" w:w="1661"/>
          </w:tcPr>
          <w:p>
            <w:pPr>
              <w:pStyle w:val="null3"/>
            </w:pPr>
            <w:r>
              <w:rPr/>
              <w:t>服务需求理解</w:t>
            </w:r>
          </w:p>
        </w:tc>
        <w:tc>
          <w:tcPr>
            <w:tcW w:type="dxa" w:w="2492"/>
          </w:tcPr>
          <w:p>
            <w:pPr>
              <w:pStyle w:val="null3"/>
            </w:pPr>
            <w:r>
              <w:rPr/>
              <w:t>应基于对本项目背景、现状、目标以及服务技术需求进行需求理解，需理解透彻、描述详细、符合区政府当前的现状和服务需求。需求理解完整，描述详细合理，完全符合当前安全现状和服务需求的，得10分；整体理解较为合理，描述粗略，基本符合当前安全现状和服务需求的，得7分；需求理解不足，不符合当前安全现状和服务需求的，得3分；未提供方案得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商务偏离表</w:t>
            </w:r>
          </w:p>
        </w:tc>
      </w:tr>
      <w:tr>
        <w:tc>
          <w:tcPr>
            <w:tcW w:type="dxa" w:w="831"/>
            <w:vMerge/>
          </w:tcPr>
          <w:p/>
        </w:tc>
        <w:tc>
          <w:tcPr>
            <w:tcW w:type="dxa" w:w="1661"/>
          </w:tcPr>
          <w:p>
            <w:pPr>
              <w:pStyle w:val="null3"/>
            </w:pPr>
            <w:r>
              <w:rPr/>
              <w:t>服务方案1</w:t>
            </w:r>
          </w:p>
        </w:tc>
        <w:tc>
          <w:tcPr>
            <w:tcW w:type="dxa" w:w="2492"/>
          </w:tcPr>
          <w:p>
            <w:pPr>
              <w:pStyle w:val="null3"/>
            </w:pPr>
            <w:r>
              <w:rPr/>
              <w:t>应基于项目需求理解，编写项目服务方案，方案设计及保证措施符合实际需求，从方案成熟度、完整性、符合程度等情况进行综合评分；方案完善、工作目标明确、科学合理，实施效果保证措施充分，计20分；有明确方案、可行、措施和各项工作目标、条理性不强，计15分；方案不合理，描述不详细，计10分，未提供不计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提供详细的服务及设备实施方案，根据各供应商提供的资料，从全面性、可操作性等进行打分，方案合理、可行、全面得10分；方案基本合理可行，但内容不全得7分；方案不完整得3，未提供不计分。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履约及质量保证能力1</w:t>
            </w:r>
          </w:p>
        </w:tc>
        <w:tc>
          <w:tcPr>
            <w:tcW w:type="dxa" w:w="2492"/>
          </w:tcPr>
          <w:p>
            <w:pPr>
              <w:pStyle w:val="null3"/>
            </w:pPr>
            <w:r>
              <w:rPr/>
              <w:t>投标人具有有效期内的资质，按照资质情况得分。 具备信息安全服务（安全工程类）最高等级资质计1分，其他级别计0.5分，未提供不计分；</w:t>
            </w:r>
          </w:p>
        </w:tc>
        <w:tc>
          <w:tcPr>
            <w:tcW w:type="dxa" w:w="831"/>
          </w:tcPr>
          <w:p>
            <w:pPr>
              <w:pStyle w:val="null3"/>
              <w:jc w:val="right"/>
            </w:pPr>
            <w:r>
              <w:rPr/>
              <w:t>1.00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履约及质量保证能力2</w:t>
            </w:r>
          </w:p>
        </w:tc>
        <w:tc>
          <w:tcPr>
            <w:tcW w:type="dxa" w:w="2492"/>
          </w:tcPr>
          <w:p>
            <w:pPr>
              <w:pStyle w:val="null3"/>
            </w:pPr>
            <w:r>
              <w:rPr/>
              <w:t>具备信息安全服务（风险评估类） 最高等级资质计1分，其他级别计0.5分，未提供不计分；</w:t>
            </w:r>
          </w:p>
        </w:tc>
        <w:tc>
          <w:tcPr>
            <w:tcW w:type="dxa" w:w="831"/>
          </w:tcPr>
          <w:p>
            <w:pPr>
              <w:pStyle w:val="null3"/>
              <w:jc w:val="right"/>
            </w:pPr>
            <w:r>
              <w:rPr/>
              <w:t>1.00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履约及质量保证能力3</w:t>
            </w:r>
          </w:p>
        </w:tc>
        <w:tc>
          <w:tcPr>
            <w:tcW w:type="dxa" w:w="2492"/>
          </w:tcPr>
          <w:p>
            <w:pPr>
              <w:pStyle w:val="null3"/>
            </w:pPr>
            <w:r>
              <w:rPr/>
              <w:t>具备信息安全服务（安全运营类）资质计2分，未提供不计分；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履约及质量保证能力4</w:t>
            </w:r>
          </w:p>
        </w:tc>
        <w:tc>
          <w:tcPr>
            <w:tcW w:type="dxa" w:w="2492"/>
          </w:tcPr>
          <w:p>
            <w:pPr>
              <w:pStyle w:val="null3"/>
            </w:pPr>
            <w:r>
              <w:rPr/>
              <w:t>具备信息安全服务（数据安全类）资质计2分，未提供不计分；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1.硕士学历及以上； 2.具备10年以上工作经验； 3.具备计算机技术与软件专业技术资格高级证书； 4.具备注册云安全讲师 ； 5.网络安全能力认证培训讲师资质证书； 6.具备注册信息安全工程师CISP证书。 按照要求提供全部证明材料的得5分，未能提供有效证明材料的每项扣1分，扣完为止，未提供不计分。（注：需提供学历证书、相关认证证书、简历、本单位近半年内任一个月社保缴纳证明，人员工作经验以提供的学历证书毕业时间为准，相关证书为行业协会颁发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项目服务团队1</w:t>
            </w:r>
          </w:p>
        </w:tc>
        <w:tc>
          <w:tcPr>
            <w:tcW w:type="dxa" w:w="2492"/>
          </w:tcPr>
          <w:p>
            <w:pPr>
              <w:pStyle w:val="null3"/>
            </w:pPr>
            <w:r>
              <w:rPr/>
              <w:t>为保障项目质量以及服务的稳定性，投入的后端服务团队需不少于10人，驻场服务人员不少于3人（其中基础网络运维驻场服务人员不少于2人、专业安全运维人员不少于1人），提供服务团队工作方案，视响应情况横向对比，方案内容完整，具体措施可靠，可操作性强，人员安排科学、合理、完全满足采购需求计5分；方案内容较完整，具体措施可靠性一般、可操作性一般，人员安排基本满足实际需要计3分；方案内容欠缺完整清晰，具体措施较差、可操作性较差，需要优化后才能满足实际需要计1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项目服务团队2</w:t>
            </w:r>
          </w:p>
        </w:tc>
        <w:tc>
          <w:tcPr>
            <w:tcW w:type="dxa" w:w="2492"/>
          </w:tcPr>
          <w:p>
            <w:pPr>
              <w:pStyle w:val="null3"/>
            </w:pPr>
            <w:r>
              <w:rPr/>
              <w:t>服务团队应具备包括但不限于CISP、渗透测试、应急响应、安全运维、风险管理等相关资质证书，提供证书满足以上类别的得4分，少1类扣1分，不提供不得分。（注：需提供人员的资质证书、本单位近半年内任一个月社保缴纳证明、联系方式、工作经历等）</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服务方案</w:t>
            </w:r>
          </w:p>
          <w:p>
            <w:pPr>
              <w:pStyle w:val="null3"/>
            </w:pPr>
            <w:r>
              <w:rPr/>
              <w:t>拟投入本项目的人员</w:t>
            </w:r>
          </w:p>
        </w:tc>
      </w:tr>
      <w:tr>
        <w:tc>
          <w:tcPr>
            <w:tcW w:type="dxa" w:w="831"/>
            <w:vMerge/>
          </w:tcPr>
          <w:p/>
        </w:tc>
        <w:tc>
          <w:tcPr>
            <w:tcW w:type="dxa" w:w="1661"/>
          </w:tcPr>
          <w:p>
            <w:pPr>
              <w:pStyle w:val="null3"/>
            </w:pPr>
            <w:r>
              <w:rPr/>
              <w:t>业绩</w:t>
            </w:r>
          </w:p>
        </w:tc>
        <w:tc>
          <w:tcPr>
            <w:tcW w:type="dxa" w:w="2492"/>
          </w:tcPr>
          <w:p>
            <w:pPr>
              <w:pStyle w:val="null3"/>
            </w:pPr>
            <w:r>
              <w:rPr/>
              <w:t>要求提供2021年1月1日以后的类似项目（安全集成类或运维服务类）业绩合同扫描盖章件5份，需提供合同扫描盖章件；每提供一份计1分，最高得5分，不提供不得分；（注：合同扫描盖章件至少具备首页、内容页及签字盖章页）</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项目业绩一览表</w:t>
            </w:r>
          </w:p>
        </w:tc>
      </w:tr>
      <w:tr>
        <w:tc>
          <w:tcPr>
            <w:tcW w:type="dxa" w:w="831"/>
            <w:vMerge/>
          </w:tcPr>
          <w:p/>
        </w:tc>
        <w:tc>
          <w:tcPr>
            <w:tcW w:type="dxa" w:w="1661"/>
          </w:tcPr>
          <w:p>
            <w:pPr>
              <w:pStyle w:val="null3"/>
            </w:pPr>
            <w:r>
              <w:rPr/>
              <w:t>售后服务及培训1</w:t>
            </w:r>
          </w:p>
        </w:tc>
        <w:tc>
          <w:tcPr>
            <w:tcW w:type="dxa" w:w="2492"/>
          </w:tcPr>
          <w:p>
            <w:pPr>
              <w:pStyle w:val="null3"/>
            </w:pPr>
            <w:r>
              <w:rPr/>
              <w:t>售后服务方案详细，有具体可行的售后服务承诺，（包括拟投入售后服务人员配置情况、项目交付用户后出现故障响应时间等），根据响应情况横向对比，方案详细、合理性强、可操作性强计5分；方案较为详细、合理性较好、可操作性较好计3分；方案合理性一般、可操作性一般计1分；不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供应商诚信承诺书</w:t>
            </w:r>
          </w:p>
        </w:tc>
      </w:tr>
      <w:tr>
        <w:tc>
          <w:tcPr>
            <w:tcW w:type="dxa" w:w="831"/>
            <w:vMerge/>
          </w:tcPr>
          <w:p/>
        </w:tc>
        <w:tc>
          <w:tcPr>
            <w:tcW w:type="dxa" w:w="1661"/>
          </w:tcPr>
          <w:p>
            <w:pPr>
              <w:pStyle w:val="null3"/>
            </w:pPr>
            <w:r>
              <w:rPr/>
              <w:t>售后服务及培训2</w:t>
            </w:r>
          </w:p>
        </w:tc>
        <w:tc>
          <w:tcPr>
            <w:tcW w:type="dxa" w:w="2492"/>
          </w:tcPr>
          <w:p>
            <w:pPr>
              <w:pStyle w:val="null3"/>
            </w:pPr>
            <w:r>
              <w:rPr/>
              <w:t>提供详尽的培训方案及培训计划，并列出培训的具体内容及方式，保证用户能熟练操作正常使用（包括：培训人数、培训时间、培训内容等），根据响应情况横向对比，方案详细、合理性强、可操作性强计5分；方案较为详细、合理性较好、可操作性较好计3分；方案合理性一般、可操作性一般计1分；不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供应商诚信承诺书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磋商报价得分=（磋商基准价/最后磋商报价）×价格权值×100；符合磋商文件规定的小微企业、监狱企业、残疾人福利企业优惠条件的供应商，价格给予10%的扣除，用扣除后的价格参与评审。</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磋商报价表</w:t>
            </w:r>
          </w:p>
          <w:p>
            <w:pPr>
              <w:pStyle w:val="null3"/>
            </w:pPr>
            <w:r>
              <w:rPr/>
              <w:t>分项报价表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详见附件：磋商报价表</w:t>
      </w:r>
    </w:p>
    <w:p>
      <w:pPr>
        <w:pStyle w:val="null3"/>
        <w:ind w:firstLine="960"/>
      </w:pPr>
      <w:r>
        <w:rPr/>
        <w:t>详见附件：分项报价表</w:t>
      </w:r>
    </w:p>
    <w:p>
      <w:pPr>
        <w:pStyle w:val="null3"/>
        <w:ind w:firstLine="960"/>
      </w:pPr>
      <w:r>
        <w:rPr/>
        <w:t>详见附件：服务方案</w:t>
      </w:r>
    </w:p>
    <w:p>
      <w:pPr>
        <w:pStyle w:val="null3"/>
        <w:ind w:firstLine="960"/>
      </w:pPr>
      <w:r>
        <w:rPr/>
        <w:t>详见附件：法定代表人授权委托书</w:t>
      </w:r>
    </w:p>
    <w:p>
      <w:pPr>
        <w:pStyle w:val="null3"/>
        <w:ind w:firstLine="960"/>
      </w:pPr>
      <w:r>
        <w:rPr/>
        <w:t>详见附件：法定代表人、负责人身份证明</w:t>
      </w:r>
    </w:p>
    <w:p>
      <w:pPr>
        <w:pStyle w:val="null3"/>
        <w:ind w:firstLine="960"/>
      </w:pPr>
      <w:r>
        <w:rPr/>
        <w:t>详见附件：非联合体投标声明</w:t>
      </w:r>
    </w:p>
    <w:p>
      <w:pPr>
        <w:pStyle w:val="null3"/>
        <w:ind w:firstLine="960"/>
      </w:pPr>
      <w:r>
        <w:rPr/>
        <w:t>详见附件：服务承诺书</w:t>
      </w:r>
    </w:p>
    <w:p>
      <w:pPr>
        <w:pStyle w:val="null3"/>
        <w:ind w:firstLine="960"/>
      </w:pPr>
      <w:r>
        <w:rPr/>
        <w:t>详见附件：供应商诚信承诺书</w:t>
      </w:r>
    </w:p>
    <w:p>
      <w:pPr>
        <w:pStyle w:val="null3"/>
        <w:ind w:firstLine="960"/>
      </w:pPr>
      <w:r>
        <w:rPr/>
        <w:t>详见附件：项目业绩一览表</w:t>
      </w:r>
    </w:p>
    <w:p>
      <w:pPr>
        <w:pStyle w:val="null3"/>
        <w:ind w:firstLine="960"/>
      </w:pPr>
      <w:r>
        <w:rPr/>
        <w:t>详见附件：拟投入本项目的人员</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详见附件：标的清单</w:t>
      </w:r>
    </w:p>
    <w:p>
      <w:pPr>
        <w:pStyle w:val="null3"/>
        <w:ind w:firstLine="960"/>
      </w:pPr>
      <w:r>
        <w:rPr/>
        <w:t>详见附件：供应商为本项目提供的资格证明文件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