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2024年法律顾问及诉讼代理</w:t>
      </w:r>
    </w:p>
    <w:p>
      <w:pPr>
        <w:pStyle w:val="null3"/>
        <w:jc w:val="center"/>
        <w:outlineLvl w:val="2"/>
      </w:pPr>
      <w:r>
        <w:rPr>
          <w:b/>
          <w:sz w:val="28"/>
        </w:rPr>
        <w:t>采购项目编号：</w:t>
      </w:r>
      <w:r>
        <w:rPr>
          <w:b/>
          <w:sz w:val="28"/>
        </w:rPr>
        <w:t>YHZB2024-J-014</w:t>
      </w:r>
      <w:r>
        <w:br/>
      </w:r>
      <w:r>
        <w:br/>
      </w:r>
      <w:r>
        <w:br/>
      </w:r>
    </w:p>
    <w:p>
      <w:pPr>
        <w:pStyle w:val="null3"/>
        <w:jc w:val="center"/>
        <w:outlineLvl w:val="2"/>
      </w:pPr>
      <w:r>
        <w:rPr>
          <w:b/>
          <w:sz w:val="28"/>
        </w:rPr>
        <w:t>西安市雁塔区城中村和棚户区改造事务中心</w:t>
      </w:r>
    </w:p>
    <w:p>
      <w:pPr>
        <w:pStyle w:val="null3"/>
        <w:jc w:val="center"/>
        <w:outlineLvl w:val="2"/>
      </w:pPr>
      <w:r>
        <w:rPr>
          <w:b/>
          <w:sz w:val="28"/>
        </w:rPr>
        <w:t>陕西远华招标有限公司</w:t>
      </w:r>
      <w:r>
        <w:rPr>
          <w:b/>
          <w:sz w:val="28"/>
        </w:rPr>
        <w:t>共同编制</w:t>
      </w:r>
    </w:p>
    <w:p>
      <w:pPr>
        <w:pStyle w:val="null3"/>
        <w:jc w:val="center"/>
        <w:outlineLvl w:val="2"/>
      </w:pPr>
      <w:r>
        <w:rPr>
          <w:b/>
          <w:sz w:val="28"/>
        </w:rPr>
        <w:t>2024年03月08日</w:t>
      </w:r>
    </w:p>
    <w:p>
      <w:pPr>
        <w:pStyle w:val="null3"/>
      </w:pPr>
      <w:r>
        <w:rPr/>
        <w:t xml:space="preserve"> </w:t>
      </w:r>
    </w:p>
    <w:p>
      <w:pPr>
        <w:pStyle w:val="null3"/>
        <w:jc w:val="center"/>
        <w:outlineLvl w:val="1"/>
      </w:pPr>
      <w:r>
        <w:rPr>
          <w:b/>
          <w:sz w:val="36"/>
        </w:rPr>
        <w:t>第一章 竞争性磋商邀请</w:t>
      </w:r>
    </w:p>
    <w:p>
      <w:pPr>
        <w:pStyle w:val="null3"/>
        <w:ind w:firstLine="480"/>
      </w:pPr>
      <w:r>
        <w:rPr/>
        <w:t>陕西远华招标有限公司</w:t>
      </w:r>
      <w:r>
        <w:rPr/>
        <w:t>（以下简称“代理机构”）受</w:t>
      </w:r>
      <w:r>
        <w:rPr/>
        <w:t>西安市雁塔区城中村和棚户区改造事务中心</w:t>
      </w:r>
      <w:r>
        <w:rPr/>
        <w:t>委托，拟对</w:t>
      </w:r>
      <w:r>
        <w:rPr/>
        <w:t>2024年法律顾问及诉讼代理</w:t>
      </w:r>
      <w:r>
        <w:rPr/>
        <w:t>采用竞争性磋商采购方式进行采购，兹邀请供应商参加本项目的竞争性磋商。</w:t>
      </w:r>
    </w:p>
    <w:p>
      <w:pPr>
        <w:pStyle w:val="null3"/>
        <w:outlineLvl w:val="2"/>
      </w:pPr>
      <w:r>
        <w:rPr>
          <w:b/>
          <w:sz w:val="28"/>
        </w:rPr>
        <w:t>一、项目编号：</w:t>
      </w:r>
      <w:r>
        <w:rPr>
          <w:b/>
          <w:sz w:val="28"/>
        </w:rPr>
        <w:t>YHZB2024-J-014</w:t>
      </w:r>
    </w:p>
    <w:p>
      <w:pPr>
        <w:pStyle w:val="null3"/>
        <w:outlineLvl w:val="2"/>
      </w:pPr>
      <w:r>
        <w:rPr>
          <w:b/>
          <w:sz w:val="28"/>
        </w:rPr>
        <w:t>二、项目名称：</w:t>
      </w:r>
      <w:r>
        <w:rPr>
          <w:b/>
          <w:sz w:val="28"/>
        </w:rPr>
        <w:t>2024年法律顾问及诉讼代理</w:t>
      </w:r>
    </w:p>
    <w:p>
      <w:pPr>
        <w:pStyle w:val="null3"/>
        <w:outlineLvl w:val="2"/>
      </w:pPr>
      <w:r>
        <w:rPr>
          <w:b/>
          <w:sz w:val="28"/>
        </w:rPr>
        <w:t>三、磋商项目简介</w:t>
      </w:r>
    </w:p>
    <w:p>
      <w:pPr>
        <w:pStyle w:val="null3"/>
        <w:ind w:firstLine="480"/>
      </w:pPr>
      <w:r>
        <w:rPr/>
        <w:t>结合采购人依法行政工作需求等实际情况，为落实法律顾问制度，充分发挥法律顾问在确保依法行政、提供法律保障、防范法律风险等方面的重要作用，拟聘请专业律师团提供常年法律顾问咨询及诉讼代理服务。</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1、具有独立承担民事责任的能力：独立承担民事责任能力的法人、其他组织或自然人，企业法人、其他组织须具有合法有效的营业执照（或事业单位法人证书）等证明资料,自然人须具有身份证明</w:t>
      </w:r>
    </w:p>
    <w:p>
      <w:pPr>
        <w:pStyle w:val="null3"/>
      </w:pPr>
      <w:r>
        <w:rPr/>
        <w:t>2、具有良好的商业信誉和健全的财务会计制度：提供2022年度或2023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p>
      <w:pPr>
        <w:pStyle w:val="null3"/>
      </w:pPr>
      <w:r>
        <w:rPr/>
        <w:t>3、具有履行合同所必需的设备和专业技术能力：提供具有履行本合同所必需的设备和专业技术能力的书面声明原件</w:t>
      </w:r>
    </w:p>
    <w:p>
      <w:pPr>
        <w:pStyle w:val="null3"/>
      </w:pPr>
      <w:r>
        <w:rPr/>
        <w:t>4、有依法缴纳税收和社会保障资金的良好记录：提供磋商截止时间前6个月内任意一个月依法缴纳社会保障资金的证明文件；提供磋商截止时间前6个月内任意一个月依法缴纳税收的良好记录</w:t>
      </w:r>
    </w:p>
    <w:p>
      <w:pPr>
        <w:pStyle w:val="null3"/>
      </w:pPr>
      <w:r>
        <w:rPr/>
        <w:t>5、参加政府采购活动前三年内，在经营活动中没有重大违法记录：提供参加政府采购活动前3年内在经营活动中没有重大违法记录的书面声明原件</w:t>
      </w:r>
    </w:p>
    <w:p>
      <w:pPr>
        <w:pStyle w:val="null3"/>
      </w:pPr>
      <w:r>
        <w:rPr/>
        <w:t>6、供应商提供法定代表人授权委托书（附法定代表人及被授权人身份证复印件)，法定代表人直接参加只需提供法定代表人身份证明及身份证原件，非法人单位参照执行：供应商提供法定代表人授权委托书（附法定代表人及被授权人身份证复印件)，法定代表人直接参加只需提供法定代表人身份证明及身份证原件，非法人单位参照执行</w:t>
      </w:r>
    </w:p>
    <w:p>
      <w:pPr>
        <w:pStyle w:val="null3"/>
      </w:pPr>
      <w:r>
        <w:rPr/>
        <w:t>7、提供《律师事务所执业许可证》：提供《律师事务所执业许可证》</w:t>
      </w:r>
    </w:p>
    <w:p>
      <w:pPr>
        <w:pStyle w:val="null3"/>
      </w:pPr>
      <w:r>
        <w:rPr/>
        <w:t>8、信用记录：供应商未被“信用中国”网站（www.creditchina.gov.cn）列入失信被执行人和重大税收违法失信主体，未被中国政府采购网（www.ccgp.gov.cn）列入政府采购严重违法失信行为记录名单</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西安市雁塔区城中村和棚户区改造事务中心</w:t>
      </w:r>
    </w:p>
    <w:p>
      <w:pPr>
        <w:pStyle w:val="null3"/>
      </w:pPr>
      <w:r>
        <w:rPr/>
        <w:t xml:space="preserve"> 地址： </w:t>
      </w:r>
      <w:r>
        <w:rPr/>
        <w:t>雁塔区翠华南路146号</w:t>
      </w:r>
    </w:p>
    <w:p>
      <w:pPr>
        <w:pStyle w:val="null3"/>
      </w:pPr>
      <w:r>
        <w:rPr/>
        <w:t xml:space="preserve"> 邮编： </w:t>
      </w:r>
      <w:r>
        <w:rPr/>
        <w:t>710000</w:t>
      </w:r>
    </w:p>
    <w:p>
      <w:pPr>
        <w:pStyle w:val="null3"/>
      </w:pPr>
      <w:r>
        <w:rPr/>
        <w:t xml:space="preserve"> 联系人： </w:t>
      </w:r>
      <w:r>
        <w:rPr/>
        <w:t>西安市雁塔区城中村和棚户区改造事务中心</w:t>
      </w:r>
    </w:p>
    <w:p>
      <w:pPr>
        <w:pStyle w:val="null3"/>
      </w:pPr>
      <w:r>
        <w:rPr/>
        <w:t xml:space="preserve"> 联系电话： </w:t>
      </w:r>
      <w:r>
        <w:rPr/>
        <w:t>18229050368</w:t>
      </w:r>
    </w:p>
    <w:p>
      <w:pPr>
        <w:pStyle w:val="null3"/>
        <w:outlineLvl w:val="3"/>
      </w:pPr>
      <w:r>
        <w:rPr>
          <w:b/>
          <w:sz w:val="24"/>
        </w:rPr>
        <w:t>代理机构：</w:t>
      </w:r>
      <w:r>
        <w:rPr>
          <w:b/>
          <w:sz w:val="24"/>
        </w:rPr>
        <w:t>陕西远华招标有限公司</w:t>
      </w:r>
    </w:p>
    <w:p>
      <w:pPr>
        <w:pStyle w:val="null3"/>
      </w:pPr>
      <w:r>
        <w:rPr/>
        <w:t xml:space="preserve"> 地址： </w:t>
      </w:r>
      <w:r>
        <w:rPr/>
        <w:t>陕西省西安市灞桥区沁水路草北社区办公楼二楼</w:t>
      </w:r>
    </w:p>
    <w:p>
      <w:pPr>
        <w:pStyle w:val="null3"/>
      </w:pPr>
      <w:r>
        <w:rPr/>
        <w:t xml:space="preserve"> 邮编： </w:t>
      </w:r>
      <w:r>
        <w:rPr/>
        <w:t>710000</w:t>
      </w:r>
    </w:p>
    <w:p>
      <w:pPr>
        <w:pStyle w:val="null3"/>
      </w:pPr>
      <w:r>
        <w:rPr/>
        <w:t xml:space="preserve"> 联系人： </w:t>
      </w:r>
      <w:r>
        <w:rPr/>
        <w:t>陈娟 晁曼</w:t>
      </w:r>
    </w:p>
    <w:p>
      <w:pPr>
        <w:pStyle w:val="null3"/>
      </w:pPr>
      <w:r>
        <w:rPr/>
        <w:t xml:space="preserve"> 联系电话： </w:t>
      </w:r>
      <w:r>
        <w:rPr/>
        <w:t>18629375023</w:t>
      </w:r>
    </w:p>
    <w:p>
      <w:pPr>
        <w:pStyle w:val="null3"/>
        <w:outlineLvl w:val="3"/>
      </w:pPr>
      <w:r>
        <w:rPr>
          <w:b/>
          <w:sz w:val="24"/>
        </w:rPr>
        <w:t>采购监督机构：</w:t>
      </w:r>
      <w:r>
        <w:rPr>
          <w:b/>
          <w:sz w:val="24"/>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印发《招标代理服务收费管理暂行办法》的通知（计价格〔2002〕1980号）、《国家发展和改革委员会办公厅关于招标代理服务收费有关问题的通知》（发改办价格〔2003〕857号）规定向中标（成交）供应商收取代理服务费。 开户名称：陕西远华招标有限公司 开户行名称：西安银行股份有限公司纺织城支行 帐 号：381011580000091472 （提交代理服务费时，请标明项目名称、事由）</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西安市雁塔区城中村和棚户区改造事务中心</w:t>
      </w:r>
      <w:r>
        <w:rPr/>
        <w:t>和</w:t>
      </w:r>
      <w:r>
        <w:rPr/>
        <w:t>陕西远华招标有限公司</w:t>
      </w:r>
      <w:r>
        <w:rPr/>
        <w:t>享有。对磋商文件中供应商参加本次政府采购活动应当具备的条件，磋商项目技术、服务、商务及其他要求，评审细则及标准由</w:t>
      </w:r>
      <w:r>
        <w:rPr/>
        <w:t>西安市雁塔区城中村和棚户区改造事务中心</w:t>
      </w:r>
      <w:r>
        <w:rPr/>
        <w:t>负责解释。除上述磋商文件内容，其他内容由</w:t>
      </w:r>
      <w:r>
        <w:rPr/>
        <w:t>陕西远华招标有限公司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西安市雁塔区城中村和棚户区改造事务中心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陕西远华招标有限公司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1．验收依据： （1）招标文件、投标文件、澄清表（函）； （2）本合同及附件文本； （3）合同签订时国家及行业现行的标准和技术规范。 2．中标供应商应向采购人提交项目实施过程中的所有资料，以便采购人日后管理和维护。</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陕西远华招标有限公司</w:t>
      </w:r>
      <w:r>
        <w:rPr/>
        <w:t xml:space="preserve"> 负责答复；供应商对除采购需求外的采购文件的询问、质疑由</w:t>
      </w:r>
      <w:r>
        <w:rPr/>
        <w:t>陕西远华招标有限公司</w:t>
      </w:r>
      <w:r>
        <w:rPr/>
        <w:t xml:space="preserve"> 负责答复；供应商对采购过程、采购结果的询问、质疑由 </w:t>
      </w:r>
      <w:r>
        <w:rPr/>
        <w:t>陕西远华招标有限公司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联系人：陈工</w:t>
      </w:r>
    </w:p>
    <w:p>
      <w:pPr>
        <w:pStyle w:val="null3"/>
      </w:pPr>
      <w:r>
        <w:rPr/>
        <w:t>联系电话：18629375023</w:t>
      </w:r>
    </w:p>
    <w:p>
      <w:pPr>
        <w:pStyle w:val="null3"/>
      </w:pPr>
      <w:r>
        <w:rPr/>
        <w:t>地址：西安市灞桥区沁水路草北社区办公楼二楼</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为落实法律顾问制度，充分发挥法律顾问在确保依法行政、提供法律保障、防范法律风险等方面的重要作用，拟聘请专业律师团提供常年法律顾问咨询及诉讼代理服务。</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350,000.00</w:t>
      </w:r>
    </w:p>
    <w:p>
      <w:pPr>
        <w:pStyle w:val="null3"/>
      </w:pPr>
      <w:r>
        <w:rPr/>
        <w:t>采购包最高限价（元）: 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法律顾问服务及诉讼代理服务</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件</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标的名称：法律顾问服务及诉讼代理服务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sz w:val="24"/>
              </w:rPr>
              <w:t>一</w:t>
            </w:r>
            <w:r>
              <w:rPr>
                <w:rFonts w:ascii="宋体" w:hAnsi="宋体" w:cs="宋体" w:eastAsia="宋体"/>
                <w:b/>
                <w:sz w:val="24"/>
              </w:rPr>
              <w:t>、</w:t>
            </w:r>
            <w:r>
              <w:rPr>
                <w:rFonts w:ascii="宋体" w:hAnsi="宋体" w:cs="宋体" w:eastAsia="宋体"/>
                <w:b/>
                <w:sz w:val="24"/>
              </w:rPr>
              <w:t>项目概况</w:t>
            </w:r>
            <w:r>
              <w:rPr>
                <w:rFonts w:ascii="宋体" w:hAnsi="宋体" w:cs="宋体" w:eastAsia="宋体"/>
                <w:b/>
                <w:sz w:val="24"/>
              </w:rPr>
              <w:t>：</w:t>
            </w:r>
          </w:p>
          <w:p>
            <w:pPr>
              <w:pStyle w:val="null3"/>
              <w:ind w:firstLine="480"/>
              <w:jc w:val="both"/>
            </w:pPr>
            <w:r>
              <w:rPr>
                <w:rFonts w:ascii="宋体" w:hAnsi="宋体" w:cs="宋体" w:eastAsia="宋体"/>
                <w:sz w:val="24"/>
              </w:rPr>
              <w:t>结合采购人依法行政工作需求等实际情况，为落实法律顾问制度，充分发挥法律顾问在确保依法行政、提供法律保障、防范法律风险等方面的重要作用，拟聘请专业律师团提供常年法律顾问咨询及诉讼代理服务。</w:t>
            </w:r>
          </w:p>
          <w:p>
            <w:pPr>
              <w:pStyle w:val="null3"/>
              <w:jc w:val="both"/>
            </w:pPr>
            <w:r>
              <w:rPr>
                <w:rFonts w:ascii="宋体" w:hAnsi="宋体" w:cs="宋体" w:eastAsia="宋体"/>
                <w:b/>
                <w:sz w:val="24"/>
              </w:rPr>
              <w:t>二、服务内容</w:t>
            </w:r>
          </w:p>
          <w:p>
            <w:pPr>
              <w:pStyle w:val="null3"/>
              <w:ind w:firstLine="480"/>
              <w:jc w:val="both"/>
            </w:pPr>
            <w:r>
              <w:rPr>
                <w:rFonts w:ascii="宋体" w:hAnsi="宋体" w:cs="宋体" w:eastAsia="宋体"/>
                <w:sz w:val="24"/>
              </w:rPr>
              <w:t>（一）就甲方业务开展中的法律问题提供法律咨询建议，提供有关法律依据；</w:t>
            </w:r>
          </w:p>
          <w:p>
            <w:pPr>
              <w:pStyle w:val="null3"/>
              <w:ind w:firstLine="480"/>
              <w:jc w:val="both"/>
            </w:pPr>
            <w:r>
              <w:rPr>
                <w:rFonts w:ascii="宋体" w:hAnsi="宋体" w:cs="宋体" w:eastAsia="宋体"/>
                <w:sz w:val="24"/>
              </w:rPr>
              <w:t>（二）审查、修改或者起草合同、协议、文件等；参加甲方研讨会、项目谈判、政策制定，并提供法律意见等非诉讼法律事务；</w:t>
            </w:r>
          </w:p>
          <w:p>
            <w:pPr>
              <w:pStyle w:val="null3"/>
              <w:ind w:firstLine="480"/>
              <w:jc w:val="both"/>
            </w:pPr>
            <w:r>
              <w:rPr>
                <w:rFonts w:ascii="宋体" w:hAnsi="宋体" w:cs="宋体" w:eastAsia="宋体"/>
                <w:sz w:val="24"/>
              </w:rPr>
              <w:t>（三）在涉及甲方的诉讼中，接受甲方的委托、授权担任甲方代理人参加诉讼活动，依法维护甲方的合法权益；</w:t>
            </w:r>
          </w:p>
          <w:p>
            <w:pPr>
              <w:pStyle w:val="null3"/>
              <w:ind w:firstLine="480"/>
              <w:jc w:val="both"/>
            </w:pPr>
            <w:r>
              <w:rPr>
                <w:rFonts w:ascii="宋体" w:hAnsi="宋体" w:cs="宋体" w:eastAsia="宋体"/>
                <w:sz w:val="24"/>
              </w:rPr>
              <w:t>（四）协助甲方进行法制教育，提高法制观念；</w:t>
            </w:r>
          </w:p>
          <w:p>
            <w:pPr>
              <w:pStyle w:val="null3"/>
              <w:ind w:firstLine="480"/>
              <w:jc w:val="both"/>
            </w:pPr>
            <w:r>
              <w:rPr>
                <w:rFonts w:ascii="宋体" w:hAnsi="宋体" w:cs="宋体" w:eastAsia="宋体"/>
                <w:sz w:val="24"/>
              </w:rPr>
              <w:t>（五）帮助甲方建立健全各种规章制度，强化管理，提出合理化建议；</w:t>
            </w:r>
          </w:p>
          <w:p>
            <w:pPr>
              <w:pStyle w:val="null3"/>
              <w:ind w:firstLine="480"/>
              <w:jc w:val="both"/>
            </w:pPr>
            <w:r>
              <w:rPr>
                <w:rFonts w:ascii="宋体" w:hAnsi="宋体" w:cs="宋体" w:eastAsia="宋体"/>
                <w:sz w:val="24"/>
              </w:rPr>
              <w:t>（六）每季度派遣两至三名资深专职律师进行法律业务培训及专题讲座</w:t>
            </w:r>
            <w:r>
              <w:rPr>
                <w:rFonts w:ascii="宋体" w:hAnsi="宋体" w:cs="宋体" w:eastAsia="宋体"/>
                <w:sz w:val="24"/>
              </w:rPr>
              <w:t>1次（具体时间以甲方通知为准）；</w:t>
            </w:r>
          </w:p>
          <w:p>
            <w:pPr>
              <w:pStyle w:val="null3"/>
              <w:ind w:firstLine="480"/>
              <w:jc w:val="both"/>
            </w:pPr>
            <w:r>
              <w:rPr>
                <w:rFonts w:ascii="宋体" w:hAnsi="宋体" w:cs="宋体" w:eastAsia="宋体"/>
                <w:sz w:val="24"/>
              </w:rPr>
              <w:t>（七）甲方委托办理的其他法律事务。</w:t>
            </w:r>
          </w:p>
          <w:p>
            <w:pPr>
              <w:pStyle w:val="null3"/>
              <w:jc w:val="both"/>
            </w:pPr>
            <w:r>
              <w:rPr>
                <w:rFonts w:ascii="宋体" w:hAnsi="宋体" w:cs="宋体" w:eastAsia="宋体"/>
                <w:b/>
                <w:sz w:val="24"/>
              </w:rPr>
              <w:t>三</w:t>
            </w:r>
            <w:r>
              <w:rPr>
                <w:rFonts w:ascii="宋体" w:hAnsi="宋体" w:cs="宋体" w:eastAsia="宋体"/>
                <w:b/>
                <w:sz w:val="24"/>
              </w:rPr>
              <w:t>、</w:t>
            </w:r>
            <w:r>
              <w:rPr>
                <w:rFonts w:ascii="宋体" w:hAnsi="宋体" w:cs="宋体" w:eastAsia="宋体"/>
                <w:b/>
                <w:sz w:val="24"/>
              </w:rPr>
              <w:t>服务要求</w:t>
            </w:r>
          </w:p>
          <w:p>
            <w:pPr>
              <w:pStyle w:val="null3"/>
              <w:ind w:firstLine="607"/>
              <w:jc w:val="both"/>
            </w:pPr>
            <w:r>
              <w:rPr>
                <w:rFonts w:ascii="宋体" w:hAnsi="宋体" w:cs="宋体" w:eastAsia="宋体"/>
                <w:sz w:val="24"/>
              </w:rPr>
              <w:t>（一）</w:t>
            </w:r>
            <w:r>
              <w:rPr>
                <w:rFonts w:ascii="宋体" w:hAnsi="宋体" w:cs="宋体" w:eastAsia="宋体"/>
                <w:sz w:val="24"/>
              </w:rPr>
              <w:t>受聘律师事务所须组织</w:t>
            </w:r>
            <w:r>
              <w:rPr>
                <w:rFonts w:ascii="宋体" w:hAnsi="宋体" w:cs="宋体" w:eastAsia="宋体"/>
                <w:sz w:val="24"/>
              </w:rPr>
              <w:t>5名以上专职律师，提供固定律师团队组成的专项服务。</w:t>
            </w:r>
          </w:p>
          <w:p>
            <w:pPr>
              <w:pStyle w:val="null3"/>
              <w:ind w:firstLine="607"/>
              <w:jc w:val="both"/>
            </w:pPr>
            <w:r>
              <w:rPr>
                <w:rFonts w:ascii="宋体" w:hAnsi="宋体" w:cs="宋体" w:eastAsia="宋体"/>
                <w:sz w:val="24"/>
              </w:rPr>
              <w:t>（二）</w:t>
            </w:r>
            <w:r>
              <w:rPr>
                <w:rFonts w:ascii="宋体" w:hAnsi="宋体" w:cs="宋体" w:eastAsia="宋体"/>
                <w:sz w:val="24"/>
              </w:rPr>
              <w:t>律师团队应指派</w:t>
            </w:r>
            <w:r>
              <w:rPr>
                <w:rFonts w:ascii="宋体" w:hAnsi="宋体" w:cs="宋体" w:eastAsia="宋体"/>
                <w:sz w:val="24"/>
              </w:rPr>
              <w:t>1</w:t>
            </w:r>
            <w:r>
              <w:rPr>
                <w:rFonts w:ascii="宋体" w:hAnsi="宋体" w:cs="宋体" w:eastAsia="宋体"/>
                <w:sz w:val="24"/>
              </w:rPr>
              <w:t>名有</w:t>
            </w:r>
            <w:r>
              <w:rPr>
                <w:rFonts w:ascii="宋体" w:hAnsi="宋体" w:cs="宋体" w:eastAsia="宋体"/>
                <w:sz w:val="24"/>
              </w:rPr>
              <w:t>10</w:t>
            </w:r>
            <w:r>
              <w:rPr>
                <w:rFonts w:ascii="宋体" w:hAnsi="宋体" w:cs="宋体" w:eastAsia="宋体"/>
                <w:sz w:val="24"/>
              </w:rPr>
              <w:t>年以上相关工作经验的律师开展固定服务，每周</w:t>
            </w:r>
            <w:r>
              <w:rPr>
                <w:rFonts w:ascii="宋体" w:hAnsi="宋体" w:cs="宋体" w:eastAsia="宋体"/>
                <w:sz w:val="24"/>
              </w:rPr>
              <w:t>一至周五为固定坐班时间，其他时间包括周六、周日调休或根据甲方工作需要随叫随到</w:t>
            </w:r>
            <w:r>
              <w:rPr>
                <w:rFonts w:ascii="宋体" w:hAnsi="宋体" w:cs="宋体" w:eastAsia="宋体"/>
                <w:sz w:val="24"/>
              </w:rPr>
              <w:t>。甲方遇有法律事务时可随时与律师联系，律师应协助研究解决。</w:t>
            </w:r>
          </w:p>
          <w:p>
            <w:pPr>
              <w:pStyle w:val="null3"/>
              <w:ind w:firstLine="607"/>
              <w:jc w:val="both"/>
            </w:pPr>
            <w:r>
              <w:rPr>
                <w:rFonts w:ascii="宋体" w:hAnsi="宋体" w:cs="宋体" w:eastAsia="宋体"/>
                <w:sz w:val="24"/>
              </w:rPr>
              <w:t>（三）法律顾问遵循以事实为根据，以法律为准绳的原则，办理甲方的法律事务，维护甲方的合法权益。</w:t>
            </w:r>
          </w:p>
          <w:p>
            <w:pPr>
              <w:pStyle w:val="null3"/>
              <w:ind w:firstLine="607"/>
              <w:jc w:val="both"/>
            </w:pPr>
            <w:r>
              <w:rPr>
                <w:rFonts w:ascii="宋体" w:hAnsi="宋体" w:cs="宋体" w:eastAsia="宋体"/>
                <w:sz w:val="24"/>
              </w:rPr>
              <w:t>（四）法律顾问的服务，采取灵活方式，根据事情的轻重缓急，采用电话、传真、电子邮件以及当面沟通等方式处理日常法律事务。</w:t>
            </w:r>
          </w:p>
          <w:p>
            <w:pPr>
              <w:pStyle w:val="null3"/>
              <w:ind w:firstLine="607"/>
              <w:jc w:val="both"/>
            </w:pPr>
            <w:r>
              <w:rPr>
                <w:rFonts w:ascii="宋体" w:hAnsi="宋体" w:cs="宋体" w:eastAsia="宋体"/>
                <w:sz w:val="24"/>
              </w:rPr>
              <w:t>（五）法律顾问具体工作安排，按照甲方的业务范围分轻、重、缓急，随时商定。</w:t>
            </w:r>
          </w:p>
          <w:p>
            <w:pPr>
              <w:pStyle w:val="null3"/>
              <w:ind w:firstLine="607"/>
              <w:jc w:val="both"/>
            </w:pPr>
            <w:r>
              <w:rPr>
                <w:rFonts w:ascii="宋体" w:hAnsi="宋体" w:cs="宋体" w:eastAsia="宋体"/>
                <w:sz w:val="24"/>
              </w:rPr>
              <w:t>（六）法律顾问在履行职责时甲方应提供必要的办公场所、办公用品及有关资料等。</w:t>
            </w:r>
          </w:p>
          <w:p>
            <w:pPr>
              <w:pStyle w:val="null3"/>
              <w:ind w:firstLine="607"/>
              <w:jc w:val="both"/>
            </w:pPr>
            <w:r>
              <w:rPr>
                <w:rFonts w:ascii="宋体" w:hAnsi="宋体" w:cs="宋体" w:eastAsia="宋体"/>
                <w:sz w:val="24"/>
              </w:rPr>
              <w:t>（七）法律顾问应严守《律师职业道德和执业纪律》，遵守甲方内部制度，在业务中接触到甲方机密时，必须严守机密。</w:t>
            </w:r>
          </w:p>
          <w:p>
            <w:pPr>
              <w:pStyle w:val="null3"/>
              <w:ind w:firstLine="607"/>
              <w:jc w:val="both"/>
            </w:pPr>
            <w:r>
              <w:rPr>
                <w:rFonts w:ascii="宋体" w:hAnsi="宋体" w:cs="宋体" w:eastAsia="宋体"/>
                <w:sz w:val="24"/>
              </w:rPr>
              <w:t>（八）乙方负责经常督促、检查受聘律师的工作，保证工作质量。如受聘人不认真履行协议规定义务，甲方有权向乙方反映意见，直至要求换人。</w:t>
            </w:r>
          </w:p>
          <w:p>
            <w:pPr>
              <w:pStyle w:val="null3"/>
              <w:ind w:firstLine="607"/>
              <w:jc w:val="both"/>
            </w:pPr>
            <w:r>
              <w:rPr>
                <w:rFonts w:ascii="宋体" w:hAnsi="宋体" w:cs="宋体" w:eastAsia="宋体"/>
                <w:sz w:val="24"/>
              </w:rPr>
              <w:t>（九）律师对局系统的法律事务应当单独建档，并保存完整的工作记录，对涉及的原始证据、法律文件和财务应当妥善保管。</w:t>
            </w:r>
          </w:p>
          <w:p>
            <w:pPr>
              <w:pStyle w:val="null3"/>
              <w:ind w:firstLine="607"/>
              <w:jc w:val="both"/>
            </w:pPr>
            <w:r>
              <w:rPr>
                <w:rFonts w:ascii="宋体" w:hAnsi="宋体" w:cs="宋体" w:eastAsia="宋体"/>
                <w:sz w:val="24"/>
              </w:rPr>
              <w:t>（十）律师在担任局常年法律顾问期间，不得担任与甲方具有法律上利益冲突的另一方代理人。</w:t>
            </w:r>
          </w:p>
          <w:p>
            <w:pPr>
              <w:pStyle w:val="null3"/>
              <w:ind w:firstLine="607"/>
              <w:jc w:val="both"/>
            </w:pPr>
            <w:r>
              <w:rPr>
                <w:rFonts w:ascii="宋体" w:hAnsi="宋体" w:cs="宋体" w:eastAsia="宋体"/>
                <w:sz w:val="24"/>
              </w:rPr>
              <w:t>（十一）律师对提供的资料有延误、虚假、误导、隐瞒、重大遗漏及其他违规行为造成的损失应承担责任。</w:t>
            </w:r>
          </w:p>
          <w:p>
            <w:pPr>
              <w:pStyle w:val="null3"/>
              <w:jc w:val="both"/>
            </w:pPr>
            <w:r>
              <w:rPr>
                <w:rFonts w:ascii="宋体" w:hAnsi="宋体" w:cs="宋体" w:eastAsia="宋体"/>
                <w:b/>
                <w:sz w:val="24"/>
              </w:rPr>
              <w:t>四</w:t>
            </w:r>
            <w:r>
              <w:rPr>
                <w:rFonts w:ascii="宋体" w:hAnsi="宋体" w:cs="宋体" w:eastAsia="宋体"/>
                <w:b/>
                <w:sz w:val="24"/>
              </w:rPr>
              <w:t>、费用组成：</w:t>
            </w:r>
          </w:p>
          <w:p>
            <w:pPr>
              <w:pStyle w:val="null3"/>
              <w:ind w:firstLine="480"/>
              <w:jc w:val="both"/>
            </w:pPr>
            <w:r>
              <w:rPr>
                <w:rFonts w:ascii="宋体" w:hAnsi="宋体" w:cs="宋体" w:eastAsia="宋体"/>
                <w:sz w:val="24"/>
              </w:rPr>
              <w:t>（一）法律顾问服务费和非诉讼法律事务服务费</w:t>
            </w:r>
          </w:p>
          <w:p>
            <w:pPr>
              <w:pStyle w:val="null3"/>
              <w:ind w:firstLine="480"/>
              <w:jc w:val="both"/>
            </w:pPr>
            <w:r>
              <w:rPr>
                <w:rFonts w:ascii="宋体" w:hAnsi="宋体" w:cs="宋体" w:eastAsia="宋体"/>
                <w:sz w:val="24"/>
              </w:rPr>
              <w:t>采取按年度计费模式，法律顾问服务费和非诉讼法律事务服务费共计每年不超过玖万捌仟元（</w:t>
            </w:r>
            <w:r>
              <w:rPr>
                <w:rFonts w:ascii="宋体" w:hAnsi="宋体" w:cs="宋体" w:eastAsia="宋体"/>
                <w:sz w:val="24"/>
              </w:rPr>
              <w:t>¥98000</w:t>
            </w:r>
            <w:r>
              <w:rPr>
                <w:rFonts w:ascii="宋体" w:hAnsi="宋体" w:cs="宋体" w:eastAsia="宋体"/>
                <w:sz w:val="24"/>
              </w:rPr>
              <w:t>.00</w:t>
            </w:r>
            <w:r>
              <w:rPr>
                <w:rFonts w:ascii="宋体" w:hAnsi="宋体" w:cs="宋体" w:eastAsia="宋体"/>
                <w:sz w:val="24"/>
              </w:rPr>
              <w:t>元）。</w:t>
            </w:r>
          </w:p>
          <w:p>
            <w:pPr>
              <w:pStyle w:val="null3"/>
              <w:ind w:firstLine="480"/>
              <w:jc w:val="both"/>
            </w:pPr>
            <w:r>
              <w:rPr>
                <w:rFonts w:ascii="宋体" w:hAnsi="宋体" w:cs="宋体" w:eastAsia="宋体"/>
                <w:sz w:val="24"/>
              </w:rPr>
              <w:t>（二）诉讼代理费</w:t>
            </w:r>
          </w:p>
          <w:p>
            <w:pPr>
              <w:pStyle w:val="null3"/>
              <w:ind w:firstLine="480"/>
              <w:jc w:val="both"/>
            </w:pPr>
            <w:r>
              <w:rPr>
                <w:rFonts w:ascii="宋体" w:hAnsi="宋体" w:cs="宋体" w:eastAsia="宋体"/>
                <w:sz w:val="24"/>
              </w:rPr>
              <w:t>甲方委托乙方代理行政诉讼、仲裁等案件，采取计件收费模式。预估</w:t>
            </w:r>
            <w:r>
              <w:rPr>
                <w:rFonts w:ascii="宋体" w:hAnsi="宋体" w:cs="宋体" w:eastAsia="宋体"/>
                <w:sz w:val="24"/>
              </w:rPr>
              <w:t>本项目服务期内，一审案件</w:t>
            </w:r>
            <w:r>
              <w:rPr>
                <w:rFonts w:ascii="宋体" w:hAnsi="宋体" w:cs="宋体" w:eastAsia="宋体"/>
                <w:sz w:val="24"/>
              </w:rPr>
              <w:t>数</w:t>
            </w:r>
            <w:r>
              <w:rPr>
                <w:rFonts w:ascii="宋体" w:hAnsi="宋体" w:cs="宋体" w:eastAsia="宋体"/>
                <w:sz w:val="24"/>
              </w:rPr>
              <w:t>30</w:t>
            </w:r>
            <w:r>
              <w:rPr>
                <w:rFonts w:ascii="宋体" w:hAnsi="宋体" w:cs="宋体" w:eastAsia="宋体"/>
                <w:sz w:val="24"/>
              </w:rPr>
              <w:t>件</w:t>
            </w:r>
            <w:r>
              <w:rPr>
                <w:rFonts w:ascii="宋体" w:hAnsi="宋体" w:cs="宋体" w:eastAsia="宋体"/>
                <w:sz w:val="24"/>
              </w:rPr>
              <w:t>、二审案件</w:t>
            </w:r>
            <w:r>
              <w:rPr>
                <w:rFonts w:ascii="宋体" w:hAnsi="宋体" w:cs="宋体" w:eastAsia="宋体"/>
                <w:sz w:val="24"/>
              </w:rPr>
              <w:t>数量</w:t>
            </w:r>
            <w:r>
              <w:rPr>
                <w:rFonts w:ascii="宋体" w:hAnsi="宋体" w:cs="宋体" w:eastAsia="宋体"/>
                <w:sz w:val="24"/>
              </w:rPr>
              <w:t>2</w:t>
            </w:r>
            <w:r>
              <w:rPr>
                <w:rFonts w:ascii="宋体" w:hAnsi="宋体" w:cs="宋体" w:eastAsia="宋体"/>
                <w:sz w:val="24"/>
              </w:rPr>
              <w:t>4</w:t>
            </w:r>
            <w:r>
              <w:rPr>
                <w:rFonts w:ascii="宋体" w:hAnsi="宋体" w:cs="宋体" w:eastAsia="宋体"/>
                <w:sz w:val="24"/>
              </w:rPr>
              <w:t>件。具体诉讼案件数量</w:t>
            </w:r>
            <w:r>
              <w:rPr>
                <w:rFonts w:ascii="宋体" w:hAnsi="宋体" w:cs="宋体" w:eastAsia="宋体"/>
                <w:sz w:val="24"/>
              </w:rPr>
              <w:t>以实际</w:t>
            </w:r>
            <w:r>
              <w:rPr>
                <w:rFonts w:ascii="宋体" w:hAnsi="宋体" w:cs="宋体" w:eastAsia="宋体"/>
                <w:sz w:val="24"/>
              </w:rPr>
              <w:t>发生</w:t>
            </w:r>
            <w:r>
              <w:rPr>
                <w:rFonts w:ascii="宋体" w:hAnsi="宋体" w:cs="宋体" w:eastAsia="宋体"/>
                <w:sz w:val="24"/>
              </w:rPr>
              <w:t>数量为准</w:t>
            </w:r>
            <w:r>
              <w:rPr>
                <w:rFonts w:ascii="宋体" w:hAnsi="宋体" w:cs="宋体" w:eastAsia="宋体"/>
                <w:sz w:val="24"/>
              </w:rPr>
              <w:t>。最高收费标准</w:t>
            </w:r>
            <w:r>
              <w:rPr>
                <w:rFonts w:ascii="宋体" w:hAnsi="宋体" w:cs="宋体" w:eastAsia="宋体"/>
                <w:sz w:val="24"/>
              </w:rPr>
              <w:t>如下：</w:t>
            </w:r>
          </w:p>
          <w:p>
            <w:pPr>
              <w:pStyle w:val="null3"/>
              <w:ind w:left="570"/>
            </w:pPr>
            <w:r>
              <w:rPr>
                <w:rFonts w:ascii="宋体" w:hAnsi="宋体" w:cs="宋体" w:eastAsia="宋体"/>
                <w:sz w:val="24"/>
              </w:rPr>
              <w:t>一审案件代理费用：不超过</w:t>
            </w:r>
            <w:r>
              <w:rPr>
                <w:rFonts w:ascii="宋体" w:hAnsi="宋体" w:cs="宋体" w:eastAsia="宋体"/>
                <w:sz w:val="24"/>
              </w:rPr>
              <w:t>6000元/件；</w:t>
            </w:r>
          </w:p>
          <w:p>
            <w:pPr>
              <w:pStyle w:val="null3"/>
              <w:ind w:left="570"/>
            </w:pPr>
            <w:r>
              <w:rPr>
                <w:rFonts w:ascii="宋体" w:hAnsi="宋体" w:cs="宋体" w:eastAsia="宋体"/>
                <w:sz w:val="24"/>
              </w:rPr>
              <w:t>二审案件代理费用：不超过</w:t>
            </w:r>
            <w:r>
              <w:rPr>
                <w:rFonts w:ascii="宋体" w:hAnsi="宋体" w:cs="宋体" w:eastAsia="宋体"/>
                <w:sz w:val="24"/>
              </w:rPr>
              <w:t>3</w:t>
            </w:r>
            <w:r>
              <w:rPr>
                <w:rFonts w:ascii="宋体" w:hAnsi="宋体" w:cs="宋体" w:eastAsia="宋体"/>
                <w:sz w:val="24"/>
              </w:rPr>
              <w:t>000元/件。</w:t>
            </w:r>
          </w:p>
        </w:tc>
      </w:tr>
    </w:tbl>
    <w:p>
      <w:pPr>
        <w:pStyle w:val="null3"/>
        <w:outlineLvl w:val="2"/>
      </w:pPr>
      <w:r>
        <w:rPr>
          <w:b/>
          <w:sz w:val="28"/>
        </w:rPr>
        <w:t>3.2.3人员配置要求</w:t>
      </w:r>
    </w:p>
    <w:p>
      <w:pPr>
        <w:pStyle w:val="null3"/>
      </w:pPr>
      <w:r>
        <w:rPr/>
        <w:t>采购包1：</w:t>
      </w:r>
    </w:p>
    <w:p>
      <w:pPr>
        <w:pStyle w:val="null3"/>
      </w:pPr>
      <w:r>
        <w:rPr/>
        <w:t>根据竞争性磋商文件服务要求及合同约定执行</w:t>
      </w:r>
    </w:p>
    <w:p>
      <w:pPr>
        <w:pStyle w:val="null3"/>
        <w:outlineLvl w:val="2"/>
      </w:pPr>
      <w:r>
        <w:rPr>
          <w:b/>
          <w:sz w:val="28"/>
        </w:rPr>
        <w:t>3.2.4设施设备要求</w:t>
      </w:r>
    </w:p>
    <w:p>
      <w:pPr>
        <w:pStyle w:val="null3"/>
      </w:pPr>
      <w:r>
        <w:rPr/>
        <w:t>采购包1：</w:t>
      </w:r>
    </w:p>
    <w:p>
      <w:pPr>
        <w:pStyle w:val="null3"/>
      </w:pPr>
      <w:r>
        <w:rPr/>
        <w:t>根据竞争性磋商文件服务要求及合同约定执行</w:t>
      </w:r>
    </w:p>
    <w:p>
      <w:pPr>
        <w:pStyle w:val="null3"/>
        <w:outlineLvl w:val="2"/>
      </w:pPr>
      <w:r>
        <w:rPr>
          <w:b/>
          <w:sz w:val="28"/>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一年</w:t>
      </w:r>
    </w:p>
    <w:p>
      <w:pPr>
        <w:pStyle w:val="null3"/>
        <w:outlineLvl w:val="3"/>
      </w:pPr>
      <w:r>
        <w:rPr>
          <w:b/>
          <w:sz w:val="24"/>
        </w:rPr>
        <w:t>3.3.2服务地点</w:t>
      </w:r>
    </w:p>
    <w:p>
      <w:pPr>
        <w:pStyle w:val="null3"/>
      </w:pPr>
      <w:r>
        <w:rPr/>
        <w:t>采购包1：</w:t>
      </w:r>
    </w:p>
    <w:p>
      <w:pPr>
        <w:pStyle w:val="null3"/>
      </w:pPr>
      <w:r>
        <w:rPr/>
        <w:t>甲方指定地点</w:t>
      </w:r>
    </w:p>
    <w:p>
      <w:pPr>
        <w:pStyle w:val="null3"/>
        <w:outlineLvl w:val="3"/>
      </w:pPr>
      <w:r>
        <w:rPr>
          <w:b/>
          <w:sz w:val="24"/>
        </w:rPr>
        <w:t>3.3.3考核（验收）标准和方法</w:t>
      </w:r>
    </w:p>
    <w:p>
      <w:pPr>
        <w:pStyle w:val="null3"/>
      </w:pPr>
      <w:r>
        <w:rPr/>
        <w:t>采购包1：</w:t>
      </w:r>
    </w:p>
    <w:p>
      <w:pPr>
        <w:pStyle w:val="null3"/>
      </w:pPr>
      <w:r>
        <w:rPr/>
        <w:t>1.合同文本、合同附件、竞争性磋商文件、响应文件。 2.国内相应的标准、规范。</w:t>
      </w:r>
    </w:p>
    <w:p>
      <w:pPr>
        <w:pStyle w:val="null3"/>
        <w:outlineLvl w:val="3"/>
      </w:pPr>
      <w:r>
        <w:rPr>
          <w:b/>
          <w:sz w:val="24"/>
        </w:rPr>
        <w:t>3.3.4支付方式</w:t>
      </w:r>
    </w:p>
    <w:p>
      <w:pPr>
        <w:pStyle w:val="null3"/>
      </w:pPr>
      <w:r>
        <w:rPr/>
        <w:t>采购包1：</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法律顾问服务费和非诉讼法律事务服务费按年支付，于乙方提供含税发票之日起10个工作日内支付至乙方账户；诉讼案件代理费每季度末根据实际代理案件数量据实结算</w:t>
      </w:r>
      <w:r>
        <w:rPr/>
        <w:t xml:space="preserve"> ，达到付款条件起 </w:t>
      </w:r>
      <w:r>
        <w:rPr/>
        <w:t>10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1、按《中华人民共和国民法典》中的相关条款执行。 2、乙方履约延误 2-1、如乙方事先未征得甲方同意并得到甲方的谅解而单方面延迟执行合同，将按违约终止合同。 2-2、在履行合同过程中，如果乙方遇到可能妨碍按时提供服务的情况，应及时以书面形式将拖延的事实，可能拖延的期限和理由通知甲方。甲方在收到乙方通知后，应尽快对情况进行评价，并确定是否通过修改合同，酌情延长交付时间或对乙方加收误期赔偿金。 3、甲方违约的，应当赔偿给乙方造成的直接经济损失。 4、违约终止合同：未按合同要求提供服务或不能满足技术要求，甲方会同监督机构有权终止合同，对乙方违约行为进行追究，同时按政府采购法的有关规定进行相应的处罚。 5、凡因本合同引起的或与本合同有关的争议，双方应友好协商解决。协商不成时，双方均同意向甲方所在地人民法院提起诉讼。</w:t>
      </w:r>
    </w:p>
    <w:p>
      <w:pPr>
        <w:pStyle w:val="null3"/>
        <w:outlineLvl w:val="2"/>
      </w:pPr>
      <w:r>
        <w:rPr>
          <w:b/>
          <w:sz w:val="28"/>
        </w:rPr>
        <w:t>3.4其他要求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独立承担民事责任能力的法人、其他组织或自然人，企业法人、其他组织须具有合法有效的营业执照（或事业单位法人证书）等证明资料,自然人须具有身份证明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提供2022年度或2023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提供具有履行本合同所必需的设备和专业技术能力的书面声明原件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有依法缴纳税收和社会保障资金的良好记录</w:t>
            </w:r>
          </w:p>
        </w:tc>
        <w:tc>
          <w:tcPr>
            <w:tcW w:type="dxa" w:w="3322"/>
          </w:tcPr>
          <w:p>
            <w:pPr>
              <w:pStyle w:val="null3"/>
            </w:pPr>
            <w:r>
              <w:rPr/>
              <w:t>提供磋商截止时间前6个月内任意一个月依法缴纳社会保障资金的证明文件；提供磋商截止时间前6个月内任意一个月依法缴纳税收的良好记录</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提供参加政府采购活动前3年内在经营活动中没有重大违法记录的书面声明原件</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供应商提供法定代表人授权委托书（附法定代表人及被授权人身份证复印件)，法定代表人直接参加只需提供法定代表人身份证明及身份证原件，非法人单位参照执行</w:t>
            </w:r>
          </w:p>
        </w:tc>
        <w:tc>
          <w:tcPr>
            <w:tcW w:type="dxa" w:w="3322"/>
          </w:tcPr>
          <w:p>
            <w:pPr>
              <w:pStyle w:val="null3"/>
            </w:pPr>
            <w:r>
              <w:rPr/>
              <w:t>供应商提供法定代表人授权委托书（附法定代表人及被授权人身份证复印件)，法定代表人直接参加只需提供法定代表人身份证明及身份证原件，非法人单位参照执行</w:t>
            </w:r>
          </w:p>
        </w:tc>
        <w:tc>
          <w:tcPr>
            <w:tcW w:type="dxa" w:w="1661"/>
          </w:tcPr>
          <w:p>
            <w:pPr>
              <w:pStyle w:val="null3"/>
            </w:pPr>
            <w:r>
              <w:rPr/>
              <w:t>法人授权委托书</w:t>
            </w:r>
          </w:p>
        </w:tc>
      </w:tr>
      <w:tr>
        <w:tc>
          <w:tcPr>
            <w:tcW w:type="dxa" w:w="831"/>
          </w:tcPr>
          <w:p>
            <w:pPr>
              <w:pStyle w:val="null3"/>
            </w:pPr>
            <w:r>
              <w:rPr/>
              <w:t>7</w:t>
            </w:r>
          </w:p>
        </w:tc>
        <w:tc>
          <w:tcPr>
            <w:tcW w:type="dxa" w:w="2492"/>
          </w:tcPr>
          <w:p>
            <w:pPr>
              <w:pStyle w:val="null3"/>
            </w:pPr>
            <w:r>
              <w:rPr/>
              <w:t>提供《律师事务所执业许可证》</w:t>
            </w:r>
          </w:p>
        </w:tc>
        <w:tc>
          <w:tcPr>
            <w:tcW w:type="dxa" w:w="3322"/>
          </w:tcPr>
          <w:p>
            <w:pPr>
              <w:pStyle w:val="null3"/>
            </w:pPr>
            <w:r>
              <w:rPr/>
              <w:t>提供《律师事务所执业许可证》</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信用记录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t>供应商应提交的相关资格证明材料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满足竞争性磋商文件要求</w:t>
            </w:r>
          </w:p>
        </w:tc>
        <w:tc>
          <w:tcPr>
            <w:tcW w:type="dxa" w:w="1661"/>
          </w:tcPr>
          <w:p>
            <w:pPr>
              <w:pStyle w:val="null3"/>
            </w:pPr>
            <w:r>
              <w:rPr/>
              <w:t>商务应答表</w:t>
            </w:r>
          </w:p>
        </w:tc>
      </w:tr>
      <w:tr>
        <w:tc>
          <w:tcPr>
            <w:tcW w:type="dxa" w:w="831"/>
          </w:tcPr>
          <w:p>
            <w:pPr>
              <w:pStyle w:val="null3"/>
            </w:pPr>
            <w:r>
              <w:rPr/>
              <w:t>3</w:t>
            </w:r>
          </w:p>
        </w:tc>
        <w:tc>
          <w:tcPr>
            <w:tcW w:type="dxa" w:w="2492"/>
          </w:tcPr>
          <w:p>
            <w:pPr>
              <w:pStyle w:val="null3"/>
            </w:pPr>
            <w:r>
              <w:rPr/>
              <w:t>磋商有效期</w:t>
            </w:r>
          </w:p>
        </w:tc>
        <w:tc>
          <w:tcPr>
            <w:tcW w:type="dxa" w:w="3322"/>
          </w:tcPr>
          <w:p>
            <w:pPr>
              <w:pStyle w:val="null3"/>
            </w:pPr>
            <w:r>
              <w:rPr/>
              <w:t>满足竞争性磋商文件中的规定</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响应文件的签字、盖章符合竞争性磋商文件要求</w:t>
            </w:r>
          </w:p>
        </w:tc>
        <w:tc>
          <w:tcPr>
            <w:tcW w:type="dxa" w:w="1661"/>
          </w:tcPr>
          <w:p>
            <w:pPr>
              <w:pStyle w:val="null3"/>
            </w:pPr>
            <w:r>
              <w:rPr/>
              <w:t>中小企业声明函 供应商应提交的相关资格证明材料 报价表 二次报价表 拟派项目组成员名单 本项目拟派项目负责人简历表 响应文件封面 供应商概况 法人授权委托书 残疾人福利性单位声明函 标的清单 响应函 监狱企业的证明文件 同类项目业绩</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对项目的理解及提供的服务方案</w:t>
            </w:r>
          </w:p>
        </w:tc>
        <w:tc>
          <w:tcPr>
            <w:tcW w:type="dxa" w:w="2492"/>
          </w:tcPr>
          <w:p>
            <w:pPr>
              <w:pStyle w:val="null3"/>
            </w:pPr>
            <w:r>
              <w:rPr/>
              <w:t>供应商对该项目服务方案的分析和理解等进行阐述，针对采购人需要解决的法律类问题,提出服务方案。按方案完整性、全面性、专业性进行综合评审。 理解清晰透彻，方案类别齐全、专业性强计10～15分； 理解相对清晰，方案类别基本完整，有一定专业性计5～10分； 理解不透彻、方案欠缺等计0～5分。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管理制度</w:t>
            </w:r>
          </w:p>
        </w:tc>
        <w:tc>
          <w:tcPr>
            <w:tcW w:type="dxa" w:w="2492"/>
          </w:tcPr>
          <w:p>
            <w:pPr>
              <w:pStyle w:val="null3"/>
            </w:pPr>
            <w:r>
              <w:rPr/>
              <w:t>根据供应商提供的内部管理制度、人员岗位职责、业务管理制度、业务档案管理制度等，按其完善性、可行性计0～5分。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保密保证及廉洁从业措施</w:t>
            </w:r>
          </w:p>
        </w:tc>
        <w:tc>
          <w:tcPr>
            <w:tcW w:type="dxa" w:w="2492"/>
          </w:tcPr>
          <w:p>
            <w:pPr>
              <w:pStyle w:val="null3"/>
            </w:pPr>
            <w:r>
              <w:rPr/>
              <w:t>针对法律顾问服务的保密保证及廉洁从业措施，根据其合理性、针对性计0～5分。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应急事件处置措施</w:t>
            </w:r>
          </w:p>
        </w:tc>
        <w:tc>
          <w:tcPr>
            <w:tcW w:type="dxa" w:w="2492"/>
          </w:tcPr>
          <w:p>
            <w:pPr>
              <w:pStyle w:val="null3"/>
            </w:pPr>
            <w:r>
              <w:rPr/>
              <w:t>应急（突发）事件的处置措施，根据措施的及时性、可行性计0～5分。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沟通协调机制</w:t>
            </w:r>
          </w:p>
        </w:tc>
        <w:tc>
          <w:tcPr>
            <w:tcW w:type="dxa" w:w="2492"/>
          </w:tcPr>
          <w:p>
            <w:pPr>
              <w:pStyle w:val="null3"/>
            </w:pPr>
            <w:r>
              <w:rPr/>
              <w:t>供应商针对项目的沟通协调机制，根据响应内容的科学性、及时性计0～5分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供应商对本项目工作提出合理化建议，根据建议的针对性、可行性计0～3分。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律所综合业务能力</w:t>
            </w:r>
          </w:p>
        </w:tc>
        <w:tc>
          <w:tcPr>
            <w:tcW w:type="dxa" w:w="2492"/>
          </w:tcPr>
          <w:p>
            <w:pPr>
              <w:pStyle w:val="null3"/>
            </w:pPr>
            <w:r>
              <w:rPr/>
              <w:t>1.合同、制度、法律文书等的起草、修改与审核方案，按其响应程度计0～4分。 2.法律意见和建议，按其响应程度计0～3分。 3.法律咨询指导和法律知识培训等，按其响应程度计0～4分。 4.针对法律纠纷、调解、仲裁或诉讼案件的处理等方案，按其响应程度计0～4分。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人员配备（项目负责人）</w:t>
            </w:r>
          </w:p>
        </w:tc>
        <w:tc>
          <w:tcPr>
            <w:tcW w:type="dxa" w:w="2492"/>
          </w:tcPr>
          <w:p>
            <w:pPr>
              <w:pStyle w:val="null3"/>
            </w:pPr>
            <w:r>
              <w:rPr/>
              <w:t>拟派项目负责人持有司法部门颁发的律师执业资格证，执业年限满20年（含）以上计5分，20-10年（含）计3分，10年以下不得分。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本项目拟派项目负责人简历表</w:t>
            </w:r>
          </w:p>
          <w:p>
            <w:pPr>
              <w:pStyle w:val="null3"/>
            </w:pPr>
            <w:r>
              <w:rPr/>
              <w:t>服务方案</w:t>
            </w:r>
          </w:p>
        </w:tc>
      </w:tr>
      <w:tr>
        <w:tc>
          <w:tcPr>
            <w:tcW w:type="dxa" w:w="831"/>
            <w:vMerge/>
          </w:tcPr>
          <w:p/>
        </w:tc>
        <w:tc>
          <w:tcPr>
            <w:tcW w:type="dxa" w:w="1661"/>
          </w:tcPr>
          <w:p>
            <w:pPr>
              <w:pStyle w:val="null3"/>
            </w:pPr>
            <w:r>
              <w:rPr/>
              <w:t>人员配备（项目组成员）</w:t>
            </w:r>
          </w:p>
        </w:tc>
        <w:tc>
          <w:tcPr>
            <w:tcW w:type="dxa" w:w="2492"/>
          </w:tcPr>
          <w:p>
            <w:pPr>
              <w:pStyle w:val="null3"/>
            </w:pPr>
            <w:r>
              <w:rPr/>
              <w:t>组织机构设置、人员职责及分工安排，提供项目组成员名单，磋商小组根据拟投入本项目人员的数量、工作年限、学历、工作经验等进行赋分（提供相应证明文件予以佐证）。 组织机构科学、合理、专业得4-7分； 组织机构基本合理，专业性一般得0-4分。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拟派项目组成员名单</w:t>
            </w:r>
          </w:p>
          <w:p>
            <w:pPr>
              <w:pStyle w:val="null3"/>
            </w:pPr>
            <w:r>
              <w:rPr/>
              <w:t>服务方案</w:t>
            </w:r>
          </w:p>
        </w:tc>
      </w:tr>
      <w:tr>
        <w:tc>
          <w:tcPr>
            <w:tcW w:type="dxa" w:w="831"/>
            <w:vMerge/>
          </w:tcPr>
          <w:p/>
        </w:tc>
        <w:tc>
          <w:tcPr>
            <w:tcW w:type="dxa" w:w="1661"/>
          </w:tcPr>
          <w:p>
            <w:pPr>
              <w:pStyle w:val="null3"/>
            </w:pPr>
            <w:r>
              <w:rPr/>
              <w:t>针对法律顾问服务的质量保障措施</w:t>
            </w:r>
          </w:p>
        </w:tc>
        <w:tc>
          <w:tcPr>
            <w:tcW w:type="dxa" w:w="2492"/>
          </w:tcPr>
          <w:p>
            <w:pPr>
              <w:pStyle w:val="null3"/>
            </w:pPr>
            <w:r>
              <w:rPr/>
              <w:t>保证措施科学、合理、可行的得7～10分； 基本合理可行的得4～7分； 合理性和可行性较差的得0～4分。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供应商对服务过程中的工作进度安排，服务质量及时效进行承诺。按其承诺的科学性、时效性及服务质量水平计0～5分。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供应商提供2021年1月1日至今的类似项目(每提供一份得1分，同一甲方只算一份业绩)，最高得10分，未提供不得分。（以合同复印件加盖公章为准，弄虚作假者取消其成交资格）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同类项目业绩</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1、满足竞争性磋商文件要求的有效最低报价为磋商基准价。 2、磋商基准价得10分。 3、其他报价得分按（基准价/投标报价）×10％×100的公式计算价格得分。 注：符合采购政策的按政策执行。</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详见附件：供应商概况</w:t>
      </w:r>
    </w:p>
    <w:p>
      <w:pPr>
        <w:pStyle w:val="null3"/>
        <w:ind w:firstLine="960"/>
      </w:pPr>
      <w:r>
        <w:rPr/>
        <w:t>详见附件：法人授权委托书</w:t>
      </w:r>
    </w:p>
    <w:p>
      <w:pPr>
        <w:pStyle w:val="null3"/>
        <w:ind w:firstLine="960"/>
      </w:pPr>
      <w:r>
        <w:rPr/>
        <w:t>详见附件：同类项目业绩</w:t>
      </w:r>
    </w:p>
    <w:p>
      <w:pPr>
        <w:pStyle w:val="null3"/>
        <w:ind w:firstLine="960"/>
      </w:pPr>
      <w:r>
        <w:rPr/>
        <w:t>详见附件：拟派项目组成员名单</w:t>
      </w:r>
    </w:p>
    <w:p>
      <w:pPr>
        <w:pStyle w:val="null3"/>
        <w:ind w:firstLine="960"/>
      </w:pPr>
      <w:r>
        <w:rPr/>
        <w:t>详见附件：本项目拟派项目负责人简历表</w:t>
      </w:r>
    </w:p>
    <w:p>
      <w:pPr>
        <w:pStyle w:val="null3"/>
        <w:ind w:firstLine="960"/>
      </w:pPr>
      <w:r>
        <w:rPr/>
        <w:t>详见附件：二次报价表</w:t>
      </w:r>
    </w:p>
    <w:p>
      <w:pPr>
        <w:pStyle w:val="null3"/>
      </w:pPr>
      <w:r>
        <w:rPr/>
        <w:t xml:space="preserve"> </w:t>
      </w:r>
    </w:p>
    <w:p>
      <w:pPr>
        <w:pStyle w:val="null3"/>
        <w:jc w:val="center"/>
        <w:outlineLvl w:val="1"/>
      </w:pPr>
      <w:r>
        <w:rPr>
          <w:b/>
          <w:sz w:val="36"/>
        </w:rPr>
        <w:t>第八章 拟签订采购合同文本</w:t>
      </w:r>
    </w:p>
    <w:p>
      <w:pPr>
        <w:pStyle w:val="null3"/>
      </w:pPr>
      <w:r>
        <w:rPr/>
        <w:t>详见附件：拟签订合同文本.docx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